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5F4" w:rsidRPr="00C843E1" w:rsidRDefault="00AD00B7" w:rsidP="008A644B">
      <w:pPr>
        <w:pStyle w:val="Titolo1"/>
        <w:spacing w:before="240" w:after="220" w:line="600" w:lineRule="exact"/>
        <w:ind w:right="4876"/>
        <w:jc w:val="left"/>
        <w:rPr>
          <w:rFonts w:eastAsia="Arial Unicode MS" w:cs="Browallia New"/>
          <w:bCs w:val="0"/>
          <w:spacing w:val="44"/>
          <w:szCs w:val="80"/>
          <w14:textOutline w14:w="15875" w14:cap="sq" w14:cmpd="sng" w14:algn="ctr">
            <w14:solidFill>
              <w14:srgbClr w14:val="DA291C"/>
            </w14:solidFill>
            <w14:prstDash w14:val="solid"/>
            <w14:round/>
          </w14:textOutline>
        </w:rPr>
      </w:pPr>
      <w:proofErr w:type="spellStart"/>
      <w:r>
        <w:rPr>
          <w:rFonts w:eastAsia="Arial Unicode MS" w:cs="Browallia New"/>
          <w:bCs w:val="0"/>
          <w:spacing w:val="44"/>
          <w:szCs w:val="80"/>
          <w14:textOutline w14:w="15875" w14:cap="sq" w14:cmpd="sng" w14:algn="ctr">
            <w14:solidFill>
              <w14:srgbClr w14:val="DA291C"/>
            </w14:solidFill>
            <w14:prstDash w14:val="solid"/>
            <w14:round/>
          </w14:textOutline>
        </w:rPr>
        <w:t>I.B.ond</w:t>
      </w:r>
      <w:proofErr w:type="spellEnd"/>
      <w:r>
        <w:rPr>
          <w:rFonts w:eastAsia="Arial Unicode MS" w:cs="Browallia New"/>
          <w:bCs w:val="0"/>
          <w:spacing w:val="44"/>
          <w:szCs w:val="80"/>
          <w14:textOutline w14:w="15875" w14:cap="sq" w14:cmpd="sng" w14:algn="ctr">
            <w14:solidFill>
              <w14:srgbClr w14:val="DA291C"/>
            </w14:solidFill>
            <w14:prstDash w14:val="solid"/>
            <w14:round/>
          </w14:textOutline>
        </w:rPr>
        <w:t xml:space="preserve"> S1</w:t>
      </w:r>
    </w:p>
    <w:p w:rsidR="0016241D" w:rsidRPr="00C44885" w:rsidRDefault="00BB31C8" w:rsidP="00C44885">
      <w:pPr>
        <w:spacing w:before="0" w:after="0"/>
        <w:rPr>
          <w:sz w:val="18"/>
          <w:szCs w:val="18"/>
        </w:rPr>
      </w:pPr>
      <w:r w:rsidRPr="00C44885">
        <w:rPr>
          <w:noProof/>
          <w:sz w:val="18"/>
          <w:szCs w:val="18"/>
          <w:lang w:eastAsia="it-IT"/>
        </w:rPr>
        <mc:AlternateContent>
          <mc:Choice Requires="wps">
            <w:drawing>
              <wp:inline distT="0" distB="0" distL="0" distR="0" wp14:anchorId="120E6176" wp14:editId="4CBD947A">
                <wp:extent cx="2238452" cy="0"/>
                <wp:effectExtent l="95250" t="95250" r="85725" b="95250"/>
                <wp:docPr id="4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452" cy="0"/>
                        </a:xfrm>
                        <a:prstGeom prst="line">
                          <a:avLst/>
                        </a:prstGeom>
                        <a:ln w="107950" cap="sq">
                          <a:solidFill>
                            <a:srgbClr val="DA291C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Connettore 1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6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" strokecolor="#da291c" strokeweight="8.5pt">
                <v:stroke joinstyle="miter" endcap="square"/>
                <w10:anchorlock/>
              </v:line>
            </w:pict>
          </mc:Fallback>
        </mc:AlternateContent>
      </w:r>
    </w:p>
    <w:p w:rsidR="00830AE9" w:rsidRDefault="00830AE9" w:rsidP="00AD00B7">
      <w:pPr>
        <w:spacing w:before="40" w:line="292" w:lineRule="exact"/>
        <w:ind w:right="4053"/>
        <w:jc w:val="left"/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</w:pPr>
      <w:r w:rsidRPr="00830AE9"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>Adesivo cementizio</w:t>
      </w:r>
      <w:r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 xml:space="preserve"> </w:t>
      </w:r>
      <w:r w:rsidRPr="00830AE9"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>monocomponente, deformabile S1,</w:t>
      </w:r>
      <w:r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 xml:space="preserve"> </w:t>
      </w:r>
      <w:r w:rsidRPr="00830AE9"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>ad altissime prestazioni.</w:t>
      </w:r>
      <w:r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 xml:space="preserve"> </w:t>
      </w:r>
      <w:r w:rsidRPr="00830AE9"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>Studiato per la posa di lastre</w:t>
      </w:r>
      <w:r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 xml:space="preserve"> </w:t>
      </w:r>
      <w:r w:rsidRPr="00830AE9"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>in gres porcellanato di grandi</w:t>
      </w:r>
      <w:r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 xml:space="preserve"> </w:t>
      </w:r>
      <w:r w:rsidRPr="00830AE9">
        <w:rPr>
          <w:rFonts w:ascii="HelveticaNeueLT W1G 75 Bd" w:eastAsia="Arial Unicode MS" w:hAnsi="HelveticaNeueLT W1G 75 Bd" w:cs="Browallia New"/>
          <w:sz w:val="23"/>
          <w:szCs w:val="2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>dimensioni.</w:t>
      </w:r>
    </w:p>
    <w:p w:rsidR="00BB31C8" w:rsidRDefault="007C10EE" w:rsidP="00D33832">
      <w:pPr>
        <w:tabs>
          <w:tab w:val="left" w:pos="426"/>
          <w:tab w:val="right" w:pos="8789"/>
        </w:tabs>
        <w:spacing w:before="3400" w:after="0"/>
        <w:rPr>
          <w:rFonts w:eastAsia="Arial Unicode MS" w:cs="Browallia New"/>
          <w:spacing w:val="6"/>
          <w:w w:val="106"/>
          <w:sz w:val="22"/>
          <w14:textOutline w14:w="5715" w14:cap="sq" w14:cmpd="sng" w14:algn="ctr">
            <w14:solidFill>
              <w14:srgbClr w14:val="3C3C3C"/>
            </w14:solidFill>
            <w14:prstDash w14:val="solid"/>
            <w14:round/>
          </w14:textOutline>
        </w:rPr>
      </w:pPr>
      <w:r w:rsidRPr="00D2313F">
        <w:rPr>
          <w:rFonts w:eastAsia="Arial Unicode MS" w:cs="Browallia New"/>
          <w:spacing w:val="6"/>
          <w:w w:val="106"/>
          <w:sz w:val="22"/>
          <w14:textOutline w14:w="5715" w14:cap="sq" w14:cmpd="sng" w14:algn="ctr">
            <w14:solidFill>
              <w14:srgbClr w14:val="3C3C3C"/>
            </w14:solidFill>
            <w14:prstDash w14:val="solid"/>
            <w14:round/>
          </w14:textOutline>
        </w:rPr>
        <w:tab/>
      </w:r>
      <w:r w:rsidR="003A499B">
        <w:rPr>
          <w:rFonts w:eastAsia="Arial Unicode MS" w:cs="Browallia New"/>
          <w:spacing w:val="6"/>
          <w:w w:val="106"/>
          <w:sz w:val="22"/>
          <w14:textOutline w14:w="5715" w14:cap="sq" w14:cmpd="sng" w14:algn="ctr">
            <w14:solidFill>
              <w14:srgbClr w14:val="3C3C3C"/>
            </w14:solidFill>
            <w14:prstDash w14:val="solid"/>
            <w14:round/>
          </w14:textOutline>
        </w:rPr>
        <w:tab/>
      </w:r>
      <w:r w:rsidR="00BB31C8" w:rsidRPr="00D2313F">
        <w:rPr>
          <w:rFonts w:eastAsia="Arial Unicode MS" w:cs="Browallia New"/>
          <w:noProof/>
          <w:spacing w:val="6"/>
          <w:w w:val="106"/>
          <w:sz w:val="22"/>
          <w:lang w:eastAsia="it-IT"/>
          <w14:textOutline w14:w="5715" w14:cap="sq" w14:cmpd="sng" w14:algn="ctr">
            <w14:solidFill>
              <w14:srgbClr w14:val="3C3C3C"/>
            </w14:solidFill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3EC47E7F" wp14:editId="133596BF">
                <wp:extent cx="2739530" cy="1437524"/>
                <wp:effectExtent l="0" t="0" r="0" b="0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530" cy="1437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E87" w:rsidRPr="00B04A62" w:rsidRDefault="00DA6835" w:rsidP="00AD00B7">
                            <w:pPr>
                              <w:pStyle w:val="Titolo3"/>
                              <w:tabs>
                                <w:tab w:val="left" w:pos="993"/>
                                <w:tab w:val="left" w:pos="1418"/>
                                <w:tab w:val="left" w:pos="2694"/>
                              </w:tabs>
                              <w:spacing w:before="120" w:after="0" w:line="1200" w:lineRule="exact"/>
                              <w:ind w:left="142" w:right="57"/>
                              <w:jc w:val="right"/>
                              <w:rPr>
                                <w:rFonts w:ascii="HelveticaNeueLT W1G 55 Roman" w:eastAsiaTheme="minorHAnsi" w:hAnsi="HelveticaNeueLT W1G 55 Roman" w:cstheme="minorBidi"/>
                                <w:b w:val="0"/>
                                <w:bCs w:val="0"/>
                                <w:color w:val="3C3C3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LT W1G 55 Roman" w:eastAsiaTheme="minorHAnsi" w:hAnsi="HelveticaNeueLT W1G 55 Roman" w:cstheme="minorBidi"/>
                                <w:b w:val="0"/>
                                <w:bCs w:val="0"/>
                                <w:color w:val="3C3C3C"/>
                                <w:sz w:val="18"/>
                                <w:szCs w:val="18"/>
                              </w:rPr>
                              <w:object w:dxaOrig="8910" w:dyaOrig="114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2.8pt;height:53pt" o:ole="">
                                  <v:imagedata r:id="rId9" o:title=""/>
                                </v:shape>
                                <o:OLEObject Type="Embed" ProgID="AcroExch.Document.7" ShapeID="_x0000_i1025" DrawAspect="Content" ObjectID="_1554117573" r:id="rId10"/>
                              </w:object>
                            </w:r>
                          </w:p>
                        </w:txbxContent>
                      </wps:txbx>
                      <wps:bodyPr rot="0" vert="horz" wrap="square" lIns="144000" tIns="180000" rIns="144000" bIns="1800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width:215.7pt;height:1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" filled="f" stroked="f">
                <v:textbox inset="4mm,5mm,4mm,5mm">
                  <w:txbxContent>
                    <w:p w:rsidR="00270E87" w:rsidRPr="00B04A62" w:rsidRDefault="00DA6835" w:rsidP="00AD00B7">
                      <w:pPr>
                        <w:pStyle w:val="Titolo3"/>
                        <w:tabs>
                          <w:tab w:val="left" w:pos="993"/>
                          <w:tab w:val="left" w:pos="1418"/>
                          <w:tab w:val="left" w:pos="2694"/>
                        </w:tabs>
                        <w:spacing w:before="120" w:after="0" w:line="1200" w:lineRule="exact"/>
                        <w:ind w:left="142" w:right="57"/>
                        <w:jc w:val="right"/>
                        <w:rPr>
                          <w:rFonts w:ascii="HelveticaNeueLT W1G 55 Roman" w:eastAsiaTheme="minorHAnsi" w:hAnsi="HelveticaNeueLT W1G 55 Roman" w:cstheme="minorBidi"/>
                          <w:b w:val="0"/>
                          <w:bCs w:val="0"/>
                          <w:color w:val="3C3C3C"/>
                          <w:sz w:val="18"/>
                          <w:szCs w:val="18"/>
                        </w:rPr>
                      </w:pPr>
                      <w:r>
                        <w:rPr>
                          <w:rFonts w:ascii="HelveticaNeueLT W1G 55 Roman" w:eastAsiaTheme="minorHAnsi" w:hAnsi="HelveticaNeueLT W1G 55 Roman" w:cstheme="minorBidi"/>
                          <w:b w:val="0"/>
                          <w:bCs w:val="0"/>
                          <w:color w:val="3C3C3C"/>
                          <w:sz w:val="18"/>
                          <w:szCs w:val="18"/>
                        </w:rPr>
                        <w:object w:dxaOrig="8910" w:dyaOrig="11400">
                          <v:shape id="_x0000_i1025" type="#_x0000_t75" style="width:42.75pt;height:53.25pt" o:ole="">
                            <v:imagedata r:id="rId11" o:title=""/>
                          </v:shape>
                          <o:OLEObject Type="Embed" ProgID="AcroExch.Document.7" ShapeID="_x0000_i1025" DrawAspect="Content" ObjectID="_1549711658" r:id="rId12"/>
                        </w:objec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5F97" w:rsidRPr="005636EA" w:rsidRDefault="00135F97" w:rsidP="008E7D81">
      <w:pPr>
        <w:spacing w:before="300" w:after="160"/>
        <w:ind w:right="84"/>
        <w:jc w:val="left"/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</w:pPr>
      <w:r w:rsidRPr="005636EA"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0" w14:cap="sq" w14:cmpd="sng" w14:algn="ctr">
            <w14:solidFill>
              <w14:srgbClr w14:val="3C3C3C"/>
            </w14:solidFill>
            <w14:prstDash w14:val="solid"/>
            <w14:round/>
          </w14:textOutline>
        </w:rPr>
        <w:t>Caratteristiche tecniche</w:t>
      </w:r>
    </w:p>
    <w:p w:rsidR="00830AE9" w:rsidRPr="00830AE9" w:rsidRDefault="00AD00B7" w:rsidP="00830AE9">
      <w:pPr>
        <w:spacing w:before="0" w:after="0" w:line="232" w:lineRule="exact"/>
        <w:rPr>
          <w:sz w:val="18"/>
          <w:szCs w:val="18"/>
        </w:rPr>
      </w:pPr>
      <w:proofErr w:type="spellStart"/>
      <w:r>
        <w:rPr>
          <w:sz w:val="18"/>
          <w:szCs w:val="18"/>
        </w:rPr>
        <w:t>I.B.ond</w:t>
      </w:r>
      <w:proofErr w:type="spellEnd"/>
      <w:r>
        <w:rPr>
          <w:sz w:val="18"/>
          <w:szCs w:val="18"/>
        </w:rPr>
        <w:t xml:space="preserve"> S1</w:t>
      </w:r>
      <w:r w:rsidR="00830AE9" w:rsidRPr="00830AE9">
        <w:rPr>
          <w:sz w:val="18"/>
          <w:szCs w:val="18"/>
        </w:rPr>
        <w:t xml:space="preserve"> è un adesivo cementizio monocomponente che contiene un’elevata quantità di resine</w:t>
      </w:r>
      <w:r w:rsidR="00830AE9">
        <w:rPr>
          <w:sz w:val="18"/>
          <w:szCs w:val="18"/>
        </w:rPr>
        <w:t xml:space="preserve"> </w:t>
      </w:r>
      <w:r w:rsidR="00830AE9" w:rsidRPr="00830AE9">
        <w:rPr>
          <w:sz w:val="18"/>
          <w:szCs w:val="18"/>
        </w:rPr>
        <w:t>pregiate, sabbie di granulometria selezionata e speciali additivi, in grado di garantire elevata adesione e deformabilità</w:t>
      </w:r>
      <w:r w:rsidR="00830AE9">
        <w:rPr>
          <w:sz w:val="18"/>
          <w:szCs w:val="18"/>
        </w:rPr>
        <w:t xml:space="preserve"> </w:t>
      </w:r>
      <w:r w:rsidR="00830AE9" w:rsidRPr="00830AE9">
        <w:rPr>
          <w:sz w:val="18"/>
          <w:szCs w:val="18"/>
        </w:rPr>
        <w:t>S1 al prodotto.</w:t>
      </w:r>
    </w:p>
    <w:p w:rsidR="00830AE9" w:rsidRDefault="00830AE9" w:rsidP="00830AE9">
      <w:pPr>
        <w:spacing w:before="0" w:after="0" w:line="232" w:lineRule="exact"/>
        <w:rPr>
          <w:sz w:val="18"/>
          <w:szCs w:val="18"/>
        </w:rPr>
      </w:pPr>
      <w:r w:rsidRPr="00830AE9">
        <w:rPr>
          <w:sz w:val="18"/>
          <w:szCs w:val="18"/>
        </w:rPr>
        <w:t xml:space="preserve">Impastato con sola acqua, </w:t>
      </w:r>
      <w:proofErr w:type="spellStart"/>
      <w:r w:rsidR="00AD00B7">
        <w:rPr>
          <w:sz w:val="18"/>
          <w:szCs w:val="18"/>
        </w:rPr>
        <w:t>I.B.ond</w:t>
      </w:r>
      <w:proofErr w:type="spellEnd"/>
      <w:r w:rsidR="00AD00B7">
        <w:rPr>
          <w:sz w:val="18"/>
          <w:szCs w:val="18"/>
        </w:rPr>
        <w:t xml:space="preserve"> S1</w:t>
      </w:r>
      <w:r w:rsidR="00AD00B7" w:rsidRPr="00830AE9">
        <w:rPr>
          <w:sz w:val="18"/>
          <w:szCs w:val="18"/>
        </w:rPr>
        <w:t xml:space="preserve"> </w:t>
      </w:r>
      <w:r w:rsidRPr="00830AE9">
        <w:rPr>
          <w:sz w:val="18"/>
          <w:szCs w:val="18"/>
        </w:rPr>
        <w:t>si trasforma in un adesivo con le seguenti caratteristiche:</w:t>
      </w:r>
    </w:p>
    <w:p w:rsidR="00752BFE" w:rsidRPr="00830AE9" w:rsidRDefault="00752BFE" w:rsidP="00830AE9">
      <w:pPr>
        <w:spacing w:before="0" w:after="0" w:line="232" w:lineRule="exact"/>
        <w:rPr>
          <w:sz w:val="18"/>
          <w:szCs w:val="18"/>
        </w:rPr>
      </w:pP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Elevata deformabilità, classificato S1 secondo la Norma Europea EN 12002, ottima capacità di assecondare</w:t>
      </w:r>
      <w:r>
        <w:rPr>
          <w:sz w:val="18"/>
          <w:szCs w:val="18"/>
        </w:rPr>
        <w:t xml:space="preserve"> </w:t>
      </w:r>
      <w:r w:rsidRPr="00830AE9">
        <w:rPr>
          <w:sz w:val="18"/>
          <w:szCs w:val="18"/>
        </w:rPr>
        <w:t>le deformazioni del supporto e delle piastrelle.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Classificato C2TE S1 secondo la Norma Europea EN 12004, per una perfetta adesione a tutti i materiali</w:t>
      </w:r>
      <w:r>
        <w:rPr>
          <w:sz w:val="18"/>
          <w:szCs w:val="18"/>
        </w:rPr>
        <w:t xml:space="preserve"> </w:t>
      </w:r>
      <w:r w:rsidRPr="00830AE9">
        <w:rPr>
          <w:sz w:val="18"/>
          <w:szCs w:val="18"/>
        </w:rPr>
        <w:t>ceramici e alla quasi totalità dei supporti comunemente usati in edilizia.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Per pavimenti e per rivestimenti, la sua alta tissotropia evita lo scivolamento verticale delle piastrelle.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Consistenza cremosa e grande semplicità di utilizzo, è facile e leggero da spatolare.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Ottima distribuzione e ricopertura del retro delle piastrelle anche con lastre di grosso formato.</w:t>
      </w:r>
    </w:p>
    <w:p w:rsid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>
        <w:rPr>
          <w:sz w:val="18"/>
          <w:szCs w:val="18"/>
        </w:rPr>
        <w:t>P</w:t>
      </w:r>
      <w:r w:rsidRPr="00830AE9">
        <w:rPr>
          <w:sz w:val="18"/>
          <w:szCs w:val="18"/>
        </w:rPr>
        <w:t>er interni ed esterni.</w:t>
      </w:r>
    </w:p>
    <w:p w:rsidR="00830AE9" w:rsidRPr="004D57A9" w:rsidRDefault="00830AE9" w:rsidP="00272F47">
      <w:pPr>
        <w:spacing w:before="0" w:after="0" w:line="232" w:lineRule="exact"/>
        <w:rPr>
          <w:sz w:val="18"/>
          <w:szCs w:val="18"/>
        </w:rPr>
      </w:pPr>
    </w:p>
    <w:p w:rsidR="002F1D41" w:rsidRPr="008E7D81" w:rsidRDefault="002F1D41" w:rsidP="008E7D81">
      <w:pPr>
        <w:spacing w:before="300" w:after="160"/>
        <w:ind w:right="84"/>
        <w:jc w:val="left"/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</w:pPr>
      <w:r w:rsidRPr="008E7D81"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  <w:t>Campi di applicazione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Posa di ogni tipo di materiale ceramico in interno ed esterno</w:t>
      </w:r>
      <w:r>
        <w:rPr>
          <w:sz w:val="18"/>
          <w:szCs w:val="18"/>
        </w:rPr>
        <w:t xml:space="preserve"> </w:t>
      </w:r>
      <w:r w:rsidRPr="00830AE9">
        <w:rPr>
          <w:sz w:val="18"/>
          <w:szCs w:val="18"/>
        </w:rPr>
        <w:t>(gres porcellanato, bicottura, monocottura, Klinker).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Posa all’interno e all’esterno di materiali lapidei (purché stabili ed insensibili all’umidità).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Posa di ceramica su pavimenti riscaldanti e su intonaci cementizi.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Incollaggio a punti di materiali isolanti e/o fonoassorbenti come polistirolo e poliuretano espansi, lana di</w:t>
      </w:r>
      <w:r>
        <w:rPr>
          <w:sz w:val="18"/>
          <w:szCs w:val="18"/>
        </w:rPr>
        <w:t xml:space="preserve"> </w:t>
      </w:r>
      <w:r w:rsidRPr="00830AE9">
        <w:rPr>
          <w:sz w:val="18"/>
          <w:szCs w:val="18"/>
        </w:rPr>
        <w:t>roccia o vetro, sughero.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Posa di pavimenti soggetti a traffico intenso.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Posa su supporti deformabili: cartongesso, fibrocemento, compensato marino, agglomerati legnosi (idoneamente</w:t>
      </w:r>
      <w:r>
        <w:rPr>
          <w:sz w:val="18"/>
          <w:szCs w:val="18"/>
        </w:rPr>
        <w:t xml:space="preserve"> </w:t>
      </w:r>
      <w:r w:rsidRPr="00830AE9">
        <w:rPr>
          <w:sz w:val="18"/>
          <w:szCs w:val="18"/>
        </w:rPr>
        <w:t>preparati, stabili all’acqua ed esenti da trattamenti)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Posa su pareti prefabbricate in calcestruzzo e su supporti in calcestruzzo stagionato.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Posa in sovrapposizione di ceramica su ceramica, materiale lapideo, marmette (adeguatamente preparati).</w:t>
      </w:r>
    </w:p>
    <w:p w:rsid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 xml:space="preserve">Posa di pavimenti e rivestimenti su supporti impermeabilizzati con guaine </w:t>
      </w:r>
      <w:r w:rsidR="00AD00B7">
        <w:rPr>
          <w:sz w:val="18"/>
          <w:szCs w:val="18"/>
        </w:rPr>
        <w:t>elastiche cementizie</w:t>
      </w:r>
      <w:r w:rsidRPr="00830AE9">
        <w:rPr>
          <w:sz w:val="18"/>
          <w:szCs w:val="18"/>
        </w:rPr>
        <w:t>.</w:t>
      </w:r>
    </w:p>
    <w:p w:rsidR="00AD00B7" w:rsidRDefault="00AD00B7">
      <w:pPr>
        <w:spacing w:before="0" w:after="200" w:line="276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830AE9" w:rsidRPr="004D57A9" w:rsidRDefault="00830AE9" w:rsidP="00272F47">
      <w:pPr>
        <w:spacing w:before="0" w:after="0" w:line="232" w:lineRule="exact"/>
        <w:rPr>
          <w:sz w:val="18"/>
          <w:szCs w:val="18"/>
        </w:rPr>
      </w:pPr>
    </w:p>
    <w:p w:rsidR="00B50A60" w:rsidRPr="008E7D81" w:rsidRDefault="00B50A60" w:rsidP="008E7D81">
      <w:pPr>
        <w:spacing w:before="300" w:after="160"/>
        <w:ind w:right="84"/>
        <w:jc w:val="left"/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</w:pPr>
      <w:r w:rsidRPr="008E7D81"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  <w:t>Avvisi importanti</w:t>
      </w:r>
    </w:p>
    <w:p w:rsidR="004E58D9" w:rsidRDefault="004E58D9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sz w:val="18"/>
          <w:szCs w:val="18"/>
        </w:rPr>
        <w:t>N</w:t>
      </w:r>
      <w:r w:rsidR="006F7422">
        <w:rPr>
          <w:sz w:val="18"/>
          <w:szCs w:val="18"/>
        </w:rPr>
        <w:t>on utilizzare nei seguenti casi:</w:t>
      </w:r>
    </w:p>
    <w:p w:rsidR="006F7422" w:rsidRPr="004D57A9" w:rsidRDefault="006F7422" w:rsidP="00272F47">
      <w:pPr>
        <w:spacing w:before="0" w:after="0" w:line="232" w:lineRule="exact"/>
        <w:rPr>
          <w:sz w:val="18"/>
          <w:szCs w:val="18"/>
        </w:rPr>
      </w:pP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Su superfici metalliche, in gomma, PVC, linoleum.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Con lastre di marmo e pietre naturali soggette ad efflorescenze o macchie.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Per la posa di lastre in gres porcellanato di spessore sottile con rete di rinforzo sul retro.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Con lastre di materiali lapidei naturali o ricomposti soggetti a movimenti per umidità.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 xml:space="preserve">Dove sia richiesta una rapida </w:t>
      </w:r>
      <w:proofErr w:type="spellStart"/>
      <w:r w:rsidRPr="00830AE9">
        <w:rPr>
          <w:sz w:val="18"/>
          <w:szCs w:val="18"/>
        </w:rPr>
        <w:t>pedonabilità</w:t>
      </w:r>
      <w:proofErr w:type="spellEnd"/>
      <w:r w:rsidRPr="00830AE9">
        <w:rPr>
          <w:sz w:val="18"/>
          <w:szCs w:val="18"/>
        </w:rPr>
        <w:t>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Su intonaci pronti a base gesso.</w:t>
      </w:r>
    </w:p>
    <w:p w:rsidR="00830AE9" w:rsidRPr="00830AE9" w:rsidRDefault="00830AE9" w:rsidP="00830AE9">
      <w:pPr>
        <w:pStyle w:val="Paragrafoelenco"/>
        <w:numPr>
          <w:ilvl w:val="0"/>
          <w:numId w:val="9"/>
        </w:numPr>
        <w:spacing w:before="0" w:after="0" w:line="232" w:lineRule="exact"/>
        <w:ind w:left="142" w:hanging="153"/>
        <w:rPr>
          <w:sz w:val="18"/>
          <w:szCs w:val="18"/>
        </w:rPr>
      </w:pPr>
      <w:r w:rsidRPr="00830AE9">
        <w:rPr>
          <w:sz w:val="18"/>
          <w:szCs w:val="18"/>
        </w:rPr>
        <w:t>Su calcestruzzo con presenza di disarmante e soggetto a forti ritiri.</w:t>
      </w:r>
    </w:p>
    <w:p w:rsidR="00AD00B7" w:rsidRDefault="00AD00B7" w:rsidP="00AD00B7">
      <w:pPr>
        <w:spacing w:before="0" w:after="0" w:line="232" w:lineRule="exact"/>
        <w:ind w:left="-11"/>
        <w:rPr>
          <w:sz w:val="18"/>
          <w:szCs w:val="18"/>
        </w:rPr>
      </w:pPr>
    </w:p>
    <w:p w:rsidR="00830AE9" w:rsidRPr="00AD00B7" w:rsidRDefault="00830AE9" w:rsidP="00AD00B7">
      <w:pPr>
        <w:spacing w:before="0" w:after="0" w:line="232" w:lineRule="exact"/>
        <w:ind w:left="-11"/>
        <w:rPr>
          <w:sz w:val="18"/>
          <w:szCs w:val="18"/>
        </w:rPr>
      </w:pPr>
      <w:r w:rsidRPr="00AD00B7">
        <w:rPr>
          <w:sz w:val="18"/>
          <w:szCs w:val="18"/>
        </w:rPr>
        <w:t>Per la posa su pareti in gesso, intonaci pronti a base gesso e su massetti in anidrite</w:t>
      </w:r>
      <w:r w:rsidR="00AD00B7" w:rsidRPr="00AD00B7">
        <w:rPr>
          <w:sz w:val="18"/>
          <w:szCs w:val="18"/>
        </w:rPr>
        <w:t>, applicare</w:t>
      </w:r>
      <w:r w:rsidRPr="00AD00B7">
        <w:rPr>
          <w:sz w:val="18"/>
          <w:szCs w:val="18"/>
        </w:rPr>
        <w:t xml:space="preserve"> </w:t>
      </w:r>
      <w:r w:rsidR="00AD00B7" w:rsidRPr="00AD00B7">
        <w:rPr>
          <w:sz w:val="18"/>
          <w:szCs w:val="18"/>
        </w:rPr>
        <w:t>idoneo PRIMER</w:t>
      </w:r>
      <w:r w:rsidRPr="00AD00B7">
        <w:rPr>
          <w:sz w:val="18"/>
          <w:szCs w:val="18"/>
        </w:rPr>
        <w:t xml:space="preserve"> prima della stesura dell’adesivo.</w:t>
      </w:r>
    </w:p>
    <w:p w:rsidR="00830AE9" w:rsidRDefault="00830AE9" w:rsidP="00272F47">
      <w:pPr>
        <w:spacing w:before="0" w:after="0" w:line="232" w:lineRule="exact"/>
        <w:rPr>
          <w:sz w:val="18"/>
          <w:szCs w:val="18"/>
        </w:rPr>
      </w:pPr>
    </w:p>
    <w:p w:rsidR="00B50A60" w:rsidRPr="004D57A9" w:rsidRDefault="004E58D9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sz w:val="18"/>
          <w:szCs w:val="18"/>
        </w:rPr>
        <w:t>Per tutto quanto non incluso in questo documento è necessario consultare la norma UNI 11493 e/o contattare il nostro servizio di assistenza tecnica.</w:t>
      </w:r>
    </w:p>
    <w:p w:rsidR="004E58D9" w:rsidRDefault="004E58D9" w:rsidP="00272F47">
      <w:pPr>
        <w:spacing w:before="0" w:after="0" w:line="232" w:lineRule="exact"/>
        <w:rPr>
          <w:sz w:val="18"/>
          <w:szCs w:val="18"/>
        </w:rPr>
      </w:pPr>
    </w:p>
    <w:p w:rsidR="00270E87" w:rsidRPr="008E7D81" w:rsidRDefault="00270E87" w:rsidP="008E7D81">
      <w:pPr>
        <w:spacing w:before="300" w:after="160"/>
        <w:ind w:right="84"/>
        <w:jc w:val="left"/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</w:pPr>
      <w:r w:rsidRPr="008E7D81"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  <w:t>Preparazione dell’impasto</w:t>
      </w:r>
    </w:p>
    <w:p w:rsidR="00830AE9" w:rsidRPr="00830AE9" w:rsidRDefault="00830AE9" w:rsidP="006F79C1">
      <w:pPr>
        <w:autoSpaceDE w:val="0"/>
        <w:autoSpaceDN w:val="0"/>
        <w:adjustRightInd w:val="0"/>
        <w:spacing w:before="0" w:after="0" w:line="240" w:lineRule="auto"/>
        <w:rPr>
          <w:sz w:val="18"/>
          <w:szCs w:val="18"/>
        </w:rPr>
      </w:pPr>
      <w:r w:rsidRPr="00830AE9">
        <w:rPr>
          <w:sz w:val="18"/>
          <w:szCs w:val="18"/>
        </w:rPr>
        <w:t xml:space="preserve">Miscelare circa </w:t>
      </w:r>
      <w:r>
        <w:rPr>
          <w:sz w:val="18"/>
          <w:szCs w:val="18"/>
        </w:rPr>
        <w:t>6,8 – 7,3</w:t>
      </w:r>
      <w:r w:rsidRPr="00830AE9">
        <w:rPr>
          <w:sz w:val="18"/>
          <w:szCs w:val="18"/>
        </w:rPr>
        <w:t xml:space="preserve"> di acqua pulita con un sacco da 25 kg di</w:t>
      </w:r>
    </w:p>
    <w:p w:rsidR="00830AE9" w:rsidRDefault="00AD00B7" w:rsidP="006F79C1">
      <w:pPr>
        <w:autoSpaceDE w:val="0"/>
        <w:autoSpaceDN w:val="0"/>
        <w:adjustRightInd w:val="0"/>
        <w:spacing w:before="0" w:after="0" w:line="240" w:lineRule="auto"/>
        <w:rPr>
          <w:sz w:val="18"/>
          <w:szCs w:val="18"/>
        </w:rPr>
      </w:pPr>
      <w:proofErr w:type="spellStart"/>
      <w:r>
        <w:rPr>
          <w:sz w:val="18"/>
          <w:szCs w:val="18"/>
        </w:rPr>
        <w:t>I.B.ond</w:t>
      </w:r>
      <w:proofErr w:type="spellEnd"/>
      <w:r>
        <w:rPr>
          <w:sz w:val="18"/>
          <w:szCs w:val="18"/>
        </w:rPr>
        <w:t xml:space="preserve"> S1</w:t>
      </w:r>
      <w:r w:rsidR="00830AE9" w:rsidRPr="00830AE9">
        <w:rPr>
          <w:sz w:val="18"/>
          <w:szCs w:val="18"/>
        </w:rPr>
        <w:t>, mediante agitatore meccanico a basso numero di giri, fino ad ottenere un impasto</w:t>
      </w:r>
      <w:r w:rsidR="00830AE9">
        <w:rPr>
          <w:sz w:val="18"/>
          <w:szCs w:val="18"/>
        </w:rPr>
        <w:t xml:space="preserve"> </w:t>
      </w:r>
      <w:r w:rsidR="00830AE9" w:rsidRPr="00830AE9">
        <w:rPr>
          <w:sz w:val="18"/>
          <w:szCs w:val="18"/>
        </w:rPr>
        <w:t xml:space="preserve">omogeneo e privo di grumi; l’impasto così ottenuto si lascia riposare per </w:t>
      </w:r>
      <w:r w:rsidR="00830AE9">
        <w:rPr>
          <w:sz w:val="18"/>
          <w:szCs w:val="18"/>
        </w:rPr>
        <w:t>circa</w:t>
      </w:r>
      <w:r w:rsidR="00830AE9" w:rsidRPr="00830AE9">
        <w:rPr>
          <w:sz w:val="18"/>
          <w:szCs w:val="18"/>
        </w:rPr>
        <w:t xml:space="preserve"> 5 minuti avendo cura di rimescolarlo</w:t>
      </w:r>
      <w:r w:rsidR="00830AE9">
        <w:rPr>
          <w:sz w:val="18"/>
          <w:szCs w:val="18"/>
        </w:rPr>
        <w:t xml:space="preserve"> </w:t>
      </w:r>
      <w:r w:rsidR="00830AE9" w:rsidRPr="00830AE9">
        <w:rPr>
          <w:sz w:val="18"/>
          <w:szCs w:val="18"/>
        </w:rPr>
        <w:t>brevemente prima dell’utilizzo</w:t>
      </w:r>
      <w:r w:rsidR="00830AE9">
        <w:rPr>
          <w:sz w:val="18"/>
          <w:szCs w:val="18"/>
        </w:rPr>
        <w:t>.</w:t>
      </w:r>
    </w:p>
    <w:p w:rsidR="00C74CE5" w:rsidRPr="004D57A9" w:rsidRDefault="00C74CE5" w:rsidP="00391993">
      <w:pPr>
        <w:spacing w:before="0" w:after="0" w:line="232" w:lineRule="exact"/>
        <w:rPr>
          <w:sz w:val="18"/>
          <w:szCs w:val="18"/>
        </w:rPr>
      </w:pPr>
    </w:p>
    <w:p w:rsidR="00B50A60" w:rsidRPr="008E7D81" w:rsidRDefault="00270E87" w:rsidP="008E7D81">
      <w:pPr>
        <w:spacing w:before="300" w:after="160"/>
        <w:ind w:right="84"/>
        <w:jc w:val="left"/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</w:pPr>
      <w:r w:rsidRPr="008E7D81"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  <w:t xml:space="preserve">Preparazione del </w:t>
      </w:r>
      <w:r w:rsidR="008E7D81"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  <w:t>so</w:t>
      </w:r>
      <w:r w:rsidRPr="008E7D81"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  <w:t>ttofondo</w:t>
      </w:r>
    </w:p>
    <w:p w:rsidR="004E58D9" w:rsidRPr="004D57A9" w:rsidRDefault="004E58D9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sz w:val="18"/>
          <w:szCs w:val="18"/>
        </w:rPr>
        <w:t>Il supporto della piastrellatura al momento dell’applicazione dell’adesivo deve essere conforme ai requisiti di stagionatura, integrità resistenza meccanica e superficiale, regolarità dimensionale, umidità e assenza di agenti contaminanti come riportato nella Norma UNI 11493 sez. 7.3.</w:t>
      </w:r>
    </w:p>
    <w:p w:rsidR="004E58D9" w:rsidRPr="004D57A9" w:rsidRDefault="004E58D9" w:rsidP="00272F47">
      <w:pPr>
        <w:spacing w:before="0" w:after="0" w:line="232" w:lineRule="exact"/>
        <w:rPr>
          <w:sz w:val="18"/>
          <w:szCs w:val="18"/>
        </w:rPr>
      </w:pPr>
    </w:p>
    <w:p w:rsidR="006F7422" w:rsidRDefault="004E58D9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b/>
          <w:sz w:val="18"/>
          <w:szCs w:val="18"/>
        </w:rPr>
        <w:t>Massetti cementizi:</w:t>
      </w:r>
      <w:r w:rsidRPr="004D57A9">
        <w:rPr>
          <w:sz w:val="18"/>
          <w:szCs w:val="18"/>
        </w:rPr>
        <w:t xml:space="preserve"> le superfici prima della posa devono essere prive di ristagni d’acqua. I supporti cementizi tradizionali devono possedere una maturazione idonea (28 giorni a temperatura +23°C e </w:t>
      </w:r>
      <w:r w:rsidR="006F79C1">
        <w:rPr>
          <w:sz w:val="18"/>
          <w:szCs w:val="18"/>
        </w:rPr>
        <w:t xml:space="preserve">         </w:t>
      </w:r>
      <w:r w:rsidR="00AD00B7">
        <w:rPr>
          <w:sz w:val="18"/>
          <w:szCs w:val="18"/>
        </w:rPr>
        <w:t>U.R. 50%)</w:t>
      </w:r>
      <w:r w:rsidRPr="004D57A9">
        <w:rPr>
          <w:sz w:val="18"/>
          <w:szCs w:val="18"/>
        </w:rPr>
        <w:t>. I supporti devono essere planari, stabili dimensionalmente e meccanicamente resistenti in funzione della destinazione d’uso, privi di parti friabili ed esenti da oli, vernici, cere e materiali antiadesivi. I supporti devono essere sufficientemente asciutti: in presenza di umidità l’ades</w:t>
      </w:r>
      <w:r w:rsidR="006F7422">
        <w:rPr>
          <w:sz w:val="18"/>
          <w:szCs w:val="18"/>
        </w:rPr>
        <w:t>ivo può rallentare la presa.</w:t>
      </w:r>
    </w:p>
    <w:p w:rsidR="004E58D9" w:rsidRPr="004D57A9" w:rsidRDefault="004E58D9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sz w:val="18"/>
          <w:szCs w:val="18"/>
        </w:rPr>
        <w:t>In ogni caso tali supporti devono rispettare i requisiti della norma UNI 11493 punto 7.6.</w:t>
      </w:r>
    </w:p>
    <w:p w:rsidR="004E58D9" w:rsidRPr="004D57A9" w:rsidRDefault="004E58D9" w:rsidP="00272F47">
      <w:pPr>
        <w:spacing w:before="0" w:after="0" w:line="232" w:lineRule="exact"/>
        <w:rPr>
          <w:sz w:val="18"/>
          <w:szCs w:val="18"/>
        </w:rPr>
      </w:pPr>
    </w:p>
    <w:p w:rsidR="006556BF" w:rsidRDefault="004E58D9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b/>
          <w:sz w:val="18"/>
          <w:szCs w:val="18"/>
        </w:rPr>
        <w:t>Intonaci:</w:t>
      </w:r>
      <w:r w:rsidRPr="004D57A9">
        <w:rPr>
          <w:sz w:val="18"/>
          <w:szCs w:val="18"/>
        </w:rPr>
        <w:t xml:space="preserve"> gli intonaci devono avere una maturazione di almeno una settimana per cm di spessore. I supporti devono essere a piombo e meccanicamente resistenti in funzione della destinazione d’uso, privi di parti friabili ed esenti da oli, vernici, cere e materiali antiadesivi. I supporti devono essere sufficientemente asciutti: in presenza di umidità l’a</w:t>
      </w:r>
      <w:r w:rsidR="006556BF">
        <w:rPr>
          <w:sz w:val="18"/>
          <w:szCs w:val="18"/>
        </w:rPr>
        <w:t>desivo può rallentare la presa.</w:t>
      </w:r>
    </w:p>
    <w:p w:rsidR="006F7422" w:rsidRDefault="004E58D9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sz w:val="18"/>
          <w:szCs w:val="18"/>
        </w:rPr>
        <w:t xml:space="preserve">N.B. I supporti in gesso o anidrite devono essere asciutti (umidità residua inferiore allo 0,5%) sufficientemente resistenti, con superficie idonea (altrimenti prevedere carteggiatura/irruvidimento) privi di polvere e trattati con </w:t>
      </w:r>
      <w:r w:rsidR="00AD00B7">
        <w:rPr>
          <w:sz w:val="18"/>
          <w:szCs w:val="18"/>
        </w:rPr>
        <w:t xml:space="preserve">idoneo </w:t>
      </w:r>
      <w:r w:rsidRPr="004D57A9">
        <w:rPr>
          <w:sz w:val="18"/>
          <w:szCs w:val="18"/>
        </w:rPr>
        <w:t>PRIMER.</w:t>
      </w:r>
    </w:p>
    <w:p w:rsidR="004E58D9" w:rsidRPr="004D57A9" w:rsidRDefault="004E58D9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sz w:val="18"/>
          <w:szCs w:val="18"/>
        </w:rPr>
        <w:t>In ogni caso tali supporti devono rispettare i requisiti della norma UNI 11493 punto 7.6</w:t>
      </w:r>
    </w:p>
    <w:p w:rsidR="004E58D9" w:rsidRPr="004D57A9" w:rsidRDefault="004E58D9" w:rsidP="00272F47">
      <w:pPr>
        <w:spacing w:before="0" w:after="0" w:line="232" w:lineRule="exact"/>
        <w:rPr>
          <w:sz w:val="18"/>
          <w:szCs w:val="18"/>
        </w:rPr>
      </w:pPr>
    </w:p>
    <w:p w:rsidR="004E58D9" w:rsidRPr="004D57A9" w:rsidRDefault="004E58D9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b/>
          <w:sz w:val="18"/>
          <w:szCs w:val="18"/>
        </w:rPr>
        <w:t>Posa su piastrelle esistenti:</w:t>
      </w:r>
      <w:r w:rsidRPr="004D57A9">
        <w:rPr>
          <w:sz w:val="18"/>
          <w:szCs w:val="18"/>
        </w:rPr>
        <w:t xml:space="preserve"> nel caso di sovrapposizioni di piastrelle ceramiche è necessario verificare che tutte le vecchie piastrelle siano ben ancorate, pulire e preparare accuratamente la superficie del vecchio pavimento mediante un primo lavaggio con </w:t>
      </w:r>
      <w:r w:rsidR="00AD00B7" w:rsidRPr="004D57A9">
        <w:rPr>
          <w:sz w:val="18"/>
          <w:szCs w:val="18"/>
        </w:rPr>
        <w:t xml:space="preserve">idoneo </w:t>
      </w:r>
      <w:r w:rsidRPr="004D57A9">
        <w:rPr>
          <w:sz w:val="18"/>
          <w:szCs w:val="18"/>
        </w:rPr>
        <w:t xml:space="preserve">detergente basico, successivamente effettuare un lavaggio con </w:t>
      </w:r>
      <w:r w:rsidR="00AD00B7" w:rsidRPr="004D57A9">
        <w:rPr>
          <w:sz w:val="18"/>
          <w:szCs w:val="18"/>
        </w:rPr>
        <w:t xml:space="preserve">idoneo detergente </w:t>
      </w:r>
      <w:r w:rsidR="00AD00B7">
        <w:rPr>
          <w:sz w:val="18"/>
          <w:szCs w:val="18"/>
        </w:rPr>
        <w:t>acido</w:t>
      </w:r>
      <w:r w:rsidRPr="004D57A9">
        <w:rPr>
          <w:sz w:val="18"/>
          <w:szCs w:val="18"/>
        </w:rPr>
        <w:t>. Prevedere azione meccanica al fine di rimuovere tutte le parti inconsistenti e i materiali che non permettono l’adesione. Per la posa in esterno su un pavimento in ceramica esistente, oltre alle prescrizioni sopra riportate prevedere anche un trattamento della superficie con</w:t>
      </w:r>
      <w:r w:rsidR="00AD00B7">
        <w:rPr>
          <w:sz w:val="18"/>
          <w:szCs w:val="18"/>
        </w:rPr>
        <w:t xml:space="preserve"> idoneo</w:t>
      </w:r>
      <w:r w:rsidRPr="004D57A9">
        <w:rPr>
          <w:sz w:val="18"/>
          <w:szCs w:val="18"/>
        </w:rPr>
        <w:t xml:space="preserve"> </w:t>
      </w:r>
      <w:r w:rsidR="00AD00B7">
        <w:rPr>
          <w:sz w:val="18"/>
          <w:szCs w:val="18"/>
        </w:rPr>
        <w:t>PRIMER promotore di aggrappo</w:t>
      </w:r>
      <w:r w:rsidRPr="004D57A9">
        <w:rPr>
          <w:sz w:val="18"/>
          <w:szCs w:val="18"/>
        </w:rPr>
        <w:t>.</w:t>
      </w:r>
    </w:p>
    <w:p w:rsidR="004E58D9" w:rsidRPr="004D57A9" w:rsidRDefault="004E58D9" w:rsidP="00272F47">
      <w:pPr>
        <w:spacing w:before="0" w:after="0" w:line="232" w:lineRule="exact"/>
        <w:rPr>
          <w:sz w:val="18"/>
          <w:szCs w:val="18"/>
        </w:rPr>
      </w:pPr>
    </w:p>
    <w:p w:rsidR="00E615FB" w:rsidRDefault="004E58D9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sz w:val="18"/>
          <w:szCs w:val="18"/>
        </w:rPr>
        <w:lastRenderedPageBreak/>
        <w:t>N.B. I supporti in cartongesso devono essere idonei per l’applicazione di rivestimenti ceramici con adesivi cementizi, resistenti, con superficie idonea e privi di agenti contaminanti sulla superficie di posa.</w:t>
      </w:r>
    </w:p>
    <w:p w:rsidR="00803ABA" w:rsidRPr="004D57A9" w:rsidRDefault="004E58D9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sz w:val="18"/>
          <w:szCs w:val="18"/>
        </w:rPr>
        <w:t>In ogni caso tali supporti devono rispettare i requisiti della norma UNI 11493 punto 7.6.2 (vedi appendice D; prospetto D.6)</w:t>
      </w:r>
    </w:p>
    <w:p w:rsidR="004E58D9" w:rsidRPr="004D57A9" w:rsidRDefault="004E58D9" w:rsidP="00391993">
      <w:pPr>
        <w:spacing w:before="0" w:after="0" w:line="232" w:lineRule="exact"/>
        <w:rPr>
          <w:sz w:val="18"/>
          <w:szCs w:val="18"/>
        </w:rPr>
      </w:pPr>
    </w:p>
    <w:p w:rsidR="00B50A60" w:rsidRPr="008E7D81" w:rsidRDefault="003B233A" w:rsidP="008E7D81">
      <w:pPr>
        <w:spacing w:before="300" w:after="160"/>
        <w:ind w:right="84"/>
        <w:jc w:val="left"/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</w:pPr>
      <w:r w:rsidRPr="008E7D81"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  <w:t>Applicazione del</w:t>
      </w:r>
      <w:r w:rsidR="00270E87" w:rsidRPr="008E7D81"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  <w:t>le piastrelle</w:t>
      </w:r>
    </w:p>
    <w:p w:rsidR="009102F0" w:rsidRPr="009102F0" w:rsidRDefault="009102F0" w:rsidP="009102F0">
      <w:pPr>
        <w:spacing w:before="0" w:after="0" w:line="232" w:lineRule="exact"/>
        <w:rPr>
          <w:sz w:val="18"/>
          <w:szCs w:val="18"/>
        </w:rPr>
      </w:pPr>
      <w:r w:rsidRPr="009102F0">
        <w:rPr>
          <w:sz w:val="18"/>
          <w:szCs w:val="18"/>
        </w:rPr>
        <w:t xml:space="preserve">Per una corretta applicazione di </w:t>
      </w:r>
      <w:proofErr w:type="spellStart"/>
      <w:r w:rsidR="00AD00B7">
        <w:rPr>
          <w:sz w:val="18"/>
          <w:szCs w:val="18"/>
        </w:rPr>
        <w:t>I.B.ond</w:t>
      </w:r>
      <w:proofErr w:type="spellEnd"/>
      <w:r w:rsidR="00AD00B7">
        <w:rPr>
          <w:sz w:val="18"/>
          <w:szCs w:val="18"/>
        </w:rPr>
        <w:t xml:space="preserve"> S1</w:t>
      </w:r>
      <w:r w:rsidR="00AD00B7" w:rsidRPr="00830AE9"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si consiglia di stendere inizialmente una mano a zero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dell’adesivo con spatola liscia e di procedere successivamente all’applicazione dell’adesivo con una spatola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dentata idonea allo spessore che si vuole ottenere, all’irregolarità che presenta il sottofondo e al tipo di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piastrella da applicare. Applicata la piastrella è bene esercitare una buona pressione, così da assicurare una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bagnatura completa del suo retro. Condizioni ambientali particolari: vento forte, temperature elevate, sole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battente o sottofondi molto assorbenti possono ridurre anche in maniera drastica il tempo aperto e di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registrazione.</w:t>
      </w:r>
    </w:p>
    <w:p w:rsidR="009102F0" w:rsidRPr="009102F0" w:rsidRDefault="009102F0" w:rsidP="009102F0">
      <w:pPr>
        <w:spacing w:before="0" w:after="0" w:line="232" w:lineRule="exact"/>
        <w:rPr>
          <w:sz w:val="18"/>
          <w:szCs w:val="18"/>
        </w:rPr>
      </w:pPr>
      <w:r w:rsidRPr="009102F0">
        <w:rPr>
          <w:sz w:val="18"/>
          <w:szCs w:val="18"/>
        </w:rPr>
        <w:t>Per limitare tale problema si consiglia di inumidire il sottofondo prima della stesura dell’adesivo. In ogni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caso è comunque necessario verificare prima della posa che l’adesivo non abbia filmato. In tal caso occorre</w:t>
      </w:r>
      <w:r>
        <w:rPr>
          <w:sz w:val="18"/>
          <w:szCs w:val="18"/>
        </w:rPr>
        <w:t xml:space="preserve"> </w:t>
      </w:r>
      <w:proofErr w:type="spellStart"/>
      <w:r w:rsidRPr="009102F0">
        <w:rPr>
          <w:sz w:val="18"/>
          <w:szCs w:val="18"/>
        </w:rPr>
        <w:t>rispatolare</w:t>
      </w:r>
      <w:proofErr w:type="spellEnd"/>
      <w:r w:rsidRPr="009102F0">
        <w:rPr>
          <w:sz w:val="18"/>
          <w:szCs w:val="18"/>
        </w:rPr>
        <w:t xml:space="preserve"> l’adesivo per riattivare l’adesività. E’ assolutamente sconsigliabile versare acqua sull’adesivo che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ha già filmato; ciò crea un velo antiadesivo. Nel caso di pavimenti o rivestimenti interni o esterni, in particolar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modo con lastre di grosso formato e/o di spessore sottile e quando il rovescio delle piastrelle è a rilievo o a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coda di rondine (klinker, cotto, ecc.), è necessario spalmare l’adesivo anche sul rovescio in modo da evitare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che rimangano delle cavità dove possa penetrare acqua o si possa formare umidità di condensa che, in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 xml:space="preserve">caso di gelo, potrebbero provocare distacchi o rotture. Le piastrelle posate con </w:t>
      </w:r>
      <w:proofErr w:type="spellStart"/>
      <w:r w:rsidR="00AD00B7">
        <w:rPr>
          <w:sz w:val="18"/>
          <w:szCs w:val="18"/>
        </w:rPr>
        <w:t>I.B.ond</w:t>
      </w:r>
      <w:proofErr w:type="spellEnd"/>
      <w:r w:rsidR="00AD00B7">
        <w:rPr>
          <w:sz w:val="18"/>
          <w:szCs w:val="18"/>
        </w:rPr>
        <w:t xml:space="preserve"> S1</w:t>
      </w:r>
      <w:r w:rsidR="00AD00B7" w:rsidRPr="00830AE9"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non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devono essere soggette a dilavamenti o pioggia per almeno 24 ore dopo la posa e devono essere protetti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>dal gelo e dal sole battente per almeno 5-7 giorni dalla data di posa.</w:t>
      </w:r>
    </w:p>
    <w:p w:rsidR="009102F0" w:rsidRDefault="009102F0" w:rsidP="009102F0">
      <w:pPr>
        <w:spacing w:before="0" w:after="0" w:line="232" w:lineRule="exact"/>
        <w:rPr>
          <w:sz w:val="18"/>
          <w:szCs w:val="18"/>
        </w:rPr>
      </w:pPr>
      <w:r w:rsidRPr="009102F0">
        <w:rPr>
          <w:sz w:val="18"/>
          <w:szCs w:val="18"/>
        </w:rPr>
        <w:t>La posa deve essere sempre essere effettuata in conformità alla norma UNI 11493.</w:t>
      </w:r>
    </w:p>
    <w:p w:rsidR="009102F0" w:rsidRPr="004D57A9" w:rsidRDefault="009102F0" w:rsidP="009102F0">
      <w:pPr>
        <w:spacing w:before="0" w:after="0" w:line="232" w:lineRule="exact"/>
        <w:rPr>
          <w:sz w:val="18"/>
          <w:szCs w:val="18"/>
        </w:rPr>
      </w:pPr>
    </w:p>
    <w:p w:rsidR="00270E87" w:rsidRPr="008E7D81" w:rsidRDefault="00270E87" w:rsidP="008E7D81">
      <w:pPr>
        <w:spacing w:before="300" w:after="160"/>
        <w:ind w:right="84"/>
        <w:jc w:val="left"/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</w:pPr>
      <w:r w:rsidRPr="008E7D81"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  <w:t>Fugatura</w:t>
      </w:r>
    </w:p>
    <w:p w:rsidR="0004580D" w:rsidRDefault="00CB3A81" w:rsidP="00272F47">
      <w:pPr>
        <w:spacing w:before="0" w:after="0" w:line="232" w:lineRule="exact"/>
        <w:rPr>
          <w:sz w:val="18"/>
          <w:szCs w:val="18"/>
        </w:rPr>
      </w:pPr>
      <w:r w:rsidRPr="004D57A9">
        <w:rPr>
          <w:sz w:val="18"/>
          <w:szCs w:val="18"/>
        </w:rPr>
        <w:t>La fugatura delle piastrelle potrà essere effettuata dopo 4-8 ore a pare</w:t>
      </w:r>
      <w:r w:rsidR="0004580D">
        <w:rPr>
          <w:sz w:val="18"/>
          <w:szCs w:val="18"/>
        </w:rPr>
        <w:t>te, dopo 24-36 ore a pavimento.</w:t>
      </w:r>
    </w:p>
    <w:p w:rsidR="00CB3A81" w:rsidRPr="004D57A9" w:rsidRDefault="00CB3A81" w:rsidP="00272F47">
      <w:pPr>
        <w:spacing w:before="0" w:after="0" w:line="232" w:lineRule="exact"/>
        <w:rPr>
          <w:sz w:val="18"/>
          <w:szCs w:val="18"/>
        </w:rPr>
      </w:pPr>
    </w:p>
    <w:p w:rsidR="000D303F" w:rsidRPr="008E7D81" w:rsidRDefault="000D303F" w:rsidP="008E7D81">
      <w:pPr>
        <w:spacing w:before="300" w:after="160"/>
        <w:ind w:right="84"/>
        <w:jc w:val="left"/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</w:pPr>
      <w:r w:rsidRPr="008E7D81">
        <w:rPr>
          <w:rFonts w:ascii="HelveticaNeueLT W1G 75 Bd" w:eastAsia="Arial Unicode MS" w:hAnsi="HelveticaNeueLT W1G 75 Bd" w:cs="Browallia New"/>
          <w:color w:val="DA291C"/>
          <w:spacing w:val="4"/>
          <w:sz w:val="33"/>
          <w:szCs w:val="33"/>
          <w14:textOutline w14:w="5715" w14:cap="sq" w14:cmpd="sng" w14:algn="ctr">
            <w14:noFill/>
            <w14:prstDash w14:val="solid"/>
            <w14:round/>
          </w14:textOutline>
        </w:rPr>
        <w:t>Voce di capitolato</w:t>
      </w:r>
    </w:p>
    <w:p w:rsidR="009102F0" w:rsidRDefault="009102F0" w:rsidP="009102F0">
      <w:pPr>
        <w:spacing w:before="0" w:after="0" w:line="232" w:lineRule="exact"/>
        <w:rPr>
          <w:sz w:val="18"/>
          <w:szCs w:val="18"/>
        </w:rPr>
      </w:pPr>
      <w:r w:rsidRPr="009102F0">
        <w:rPr>
          <w:sz w:val="18"/>
          <w:szCs w:val="18"/>
        </w:rPr>
        <w:t>I pavimenti e i rivestimenti in interno ed esterno, dovranno essere posati con una adesivo in polvere,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 xml:space="preserve">monocomponente, deformabile, a legante misto, ad alte prestazioni, di classe C2TE-S1 (secondo la </w:t>
      </w:r>
      <w:r>
        <w:rPr>
          <w:sz w:val="18"/>
          <w:szCs w:val="18"/>
        </w:rPr>
        <w:t xml:space="preserve">   </w:t>
      </w:r>
      <w:r w:rsidRPr="009102F0">
        <w:rPr>
          <w:sz w:val="18"/>
          <w:szCs w:val="18"/>
        </w:rPr>
        <w:t>Norma</w:t>
      </w:r>
      <w:r>
        <w:rPr>
          <w:sz w:val="18"/>
          <w:szCs w:val="18"/>
        </w:rPr>
        <w:t xml:space="preserve"> </w:t>
      </w:r>
      <w:r w:rsidRPr="009102F0">
        <w:rPr>
          <w:sz w:val="18"/>
          <w:szCs w:val="18"/>
        </w:rPr>
        <w:t xml:space="preserve">EN 12004) tipo </w:t>
      </w:r>
      <w:proofErr w:type="spellStart"/>
      <w:r w:rsidR="005B2CCD">
        <w:rPr>
          <w:sz w:val="18"/>
          <w:szCs w:val="18"/>
        </w:rPr>
        <w:t>I.B.ond</w:t>
      </w:r>
      <w:proofErr w:type="spellEnd"/>
      <w:r w:rsidR="005B2CCD">
        <w:rPr>
          <w:sz w:val="18"/>
          <w:szCs w:val="18"/>
        </w:rPr>
        <w:t xml:space="preserve"> S1</w:t>
      </w:r>
      <w:r w:rsidRPr="009102F0">
        <w:rPr>
          <w:sz w:val="18"/>
          <w:szCs w:val="18"/>
        </w:rPr>
        <w:t xml:space="preserve"> di </w:t>
      </w:r>
      <w:r w:rsidR="005B2CCD">
        <w:rPr>
          <w:sz w:val="18"/>
          <w:szCs w:val="18"/>
        </w:rPr>
        <w:t>INNOCENTI BRUNA</w:t>
      </w:r>
      <w:r w:rsidRPr="009102F0">
        <w:rPr>
          <w:sz w:val="18"/>
          <w:szCs w:val="18"/>
        </w:rPr>
        <w:t xml:space="preserve"> </w:t>
      </w:r>
      <w:proofErr w:type="spellStart"/>
      <w:r w:rsidRPr="009102F0">
        <w:rPr>
          <w:sz w:val="18"/>
          <w:szCs w:val="18"/>
        </w:rPr>
        <w:t>S.</w:t>
      </w:r>
      <w:r w:rsidR="005B2CCD">
        <w:rPr>
          <w:sz w:val="18"/>
          <w:szCs w:val="18"/>
        </w:rPr>
        <w:t>r</w:t>
      </w:r>
      <w:r w:rsidRPr="009102F0">
        <w:rPr>
          <w:sz w:val="18"/>
          <w:szCs w:val="18"/>
        </w:rPr>
        <w:t>.</w:t>
      </w:r>
      <w:r w:rsidR="005B2CCD">
        <w:rPr>
          <w:sz w:val="18"/>
          <w:szCs w:val="18"/>
        </w:rPr>
        <w:t>L</w:t>
      </w:r>
      <w:r w:rsidRPr="009102F0">
        <w:rPr>
          <w:sz w:val="18"/>
          <w:szCs w:val="18"/>
        </w:rPr>
        <w:t>.</w:t>
      </w:r>
      <w:proofErr w:type="spellEnd"/>
    </w:p>
    <w:p w:rsidR="009102F0" w:rsidRPr="004D57A9" w:rsidRDefault="009102F0" w:rsidP="00272F47">
      <w:pPr>
        <w:spacing w:before="0" w:after="0" w:line="232" w:lineRule="exact"/>
        <w:rPr>
          <w:sz w:val="18"/>
          <w:szCs w:val="18"/>
        </w:rPr>
      </w:pPr>
    </w:p>
    <w:p w:rsidR="00FF5A05" w:rsidRPr="004D57A9" w:rsidRDefault="00FF5A05" w:rsidP="00272F47">
      <w:pPr>
        <w:spacing w:before="0" w:after="0" w:line="232" w:lineRule="exact"/>
        <w:rPr>
          <w:sz w:val="18"/>
          <w:szCs w:val="18"/>
        </w:rPr>
      </w:pPr>
    </w:p>
    <w:p w:rsidR="00FF5A05" w:rsidRPr="004D57A9" w:rsidRDefault="00FF5A05" w:rsidP="00272F47">
      <w:pPr>
        <w:spacing w:before="0" w:after="0" w:line="232" w:lineRule="exact"/>
        <w:rPr>
          <w:sz w:val="18"/>
          <w:szCs w:val="18"/>
        </w:rPr>
        <w:sectPr w:rsidR="00FF5A05" w:rsidRPr="004D57A9" w:rsidSect="00EC1957">
          <w:pgSz w:w="11906" w:h="16838" w:code="9"/>
          <w:pgMar w:top="1701" w:right="2608" w:bottom="993" w:left="567" w:header="680" w:footer="457" w:gutter="0"/>
          <w:cols w:space="708"/>
          <w:docGrid w:linePitch="360"/>
        </w:sectPr>
      </w:pPr>
    </w:p>
    <w:p w:rsidR="00803ABA" w:rsidRPr="004D57A9" w:rsidRDefault="00803ABA" w:rsidP="004D57A9">
      <w:pPr>
        <w:spacing w:before="0" w:after="0" w:line="232" w:lineRule="exact"/>
        <w:rPr>
          <w:sz w:val="18"/>
          <w:szCs w:val="18"/>
        </w:rPr>
      </w:pPr>
    </w:p>
    <w:p w:rsidR="001B0F85" w:rsidRPr="004D57A9" w:rsidRDefault="001B0F85" w:rsidP="004D57A9">
      <w:pPr>
        <w:spacing w:before="0" w:after="0" w:line="232" w:lineRule="exact"/>
        <w:rPr>
          <w:sz w:val="18"/>
          <w:szCs w:val="18"/>
        </w:rPr>
      </w:pPr>
    </w:p>
    <w:p w:rsidR="001B0F85" w:rsidRPr="004D57A9" w:rsidRDefault="001B0F85" w:rsidP="004D57A9">
      <w:pPr>
        <w:spacing w:before="0" w:after="0" w:line="232" w:lineRule="exact"/>
        <w:rPr>
          <w:sz w:val="18"/>
          <w:szCs w:val="18"/>
        </w:rPr>
      </w:pPr>
    </w:p>
    <w:tbl>
      <w:tblPr>
        <w:tblStyle w:val="Grigliatabella"/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3827"/>
      </w:tblGrid>
      <w:tr w:rsidR="00400E39" w:rsidRPr="00520B94" w:rsidTr="00AD00B7">
        <w:trPr>
          <w:trHeight w:hRule="exact" w:val="425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C65BEA" w:rsidRPr="00520B94" w:rsidRDefault="00C65BEA" w:rsidP="003355D4">
            <w:pPr>
              <w:spacing w:before="0" w:after="0" w:line="200" w:lineRule="exact"/>
              <w:ind w:left="-108"/>
              <w:rPr>
                <w:color w:val="DA291C"/>
                <w:sz w:val="17"/>
                <w:szCs w:val="17"/>
              </w:rPr>
            </w:pPr>
            <w:r w:rsidRPr="00520B94">
              <w:rPr>
                <w:color w:val="DA291C"/>
                <w:sz w:val="17"/>
                <w:szCs w:val="17"/>
              </w:rPr>
              <w:t>Dati Tecnici (a +23°C e 50% U.R.)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C65BEA" w:rsidRPr="00520B94" w:rsidRDefault="00C65BEA" w:rsidP="003355D4">
            <w:pPr>
              <w:spacing w:before="0" w:after="0" w:line="200" w:lineRule="exact"/>
              <w:ind w:left="-101"/>
              <w:rPr>
                <w:color w:val="DA291C"/>
                <w:sz w:val="17"/>
                <w:szCs w:val="17"/>
              </w:rPr>
            </w:pPr>
          </w:p>
        </w:tc>
      </w:tr>
      <w:tr w:rsidR="00720E17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720E17" w:rsidRPr="00520B94" w:rsidRDefault="00720E17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Aspetto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720E17" w:rsidRPr="00520B94" w:rsidRDefault="00720E17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polvere</w:t>
            </w:r>
          </w:p>
        </w:tc>
      </w:tr>
      <w:tr w:rsidR="00720E17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720E17" w:rsidRPr="00520B94" w:rsidRDefault="00720E17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Colore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720E17" w:rsidRPr="00520B94" w:rsidRDefault="00720E17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bianco e grigio</w:t>
            </w:r>
          </w:p>
        </w:tc>
      </w:tr>
      <w:tr w:rsidR="00720E17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720E17" w:rsidRPr="00520B94" w:rsidRDefault="00720E17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Massa volumica della polvere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720E17" w:rsidRPr="00520B94" w:rsidRDefault="0039172D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1,4</w:t>
            </w:r>
            <w:r w:rsidR="00720E17" w:rsidRPr="00520B94">
              <w:rPr>
                <w:sz w:val="17"/>
                <w:szCs w:val="17"/>
              </w:rPr>
              <w:t xml:space="preserve"> g/cm</w:t>
            </w:r>
            <w:r w:rsidR="00720E17" w:rsidRPr="00520B94">
              <w:rPr>
                <w:sz w:val="17"/>
                <w:szCs w:val="17"/>
                <w:vertAlign w:val="superscript"/>
              </w:rPr>
              <w:t>3</w:t>
            </w:r>
          </w:p>
        </w:tc>
      </w:tr>
      <w:tr w:rsidR="00720E17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720E17" w:rsidRPr="00520B94" w:rsidRDefault="00720E17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Conservazione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720E17" w:rsidRPr="00520B94" w:rsidRDefault="00720E17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12 mesi (in imballo originale, in luogo asciutto</w:t>
            </w:r>
            <w:r w:rsidR="002F5999" w:rsidRPr="00520B94">
              <w:rPr>
                <w:sz w:val="17"/>
                <w:szCs w:val="17"/>
              </w:rPr>
              <w:t>)</w:t>
            </w:r>
          </w:p>
        </w:tc>
      </w:tr>
      <w:tr w:rsidR="002F5999" w:rsidRPr="00520B94" w:rsidTr="00AD00B7">
        <w:trPr>
          <w:trHeight w:hRule="exact" w:val="425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Sicurezza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Controllare le informazioni riportate sulla confezione e sulla Scheda di Sicurezza</w:t>
            </w:r>
          </w:p>
        </w:tc>
      </w:tr>
      <w:tr w:rsidR="002F5999" w:rsidRPr="00520B94" w:rsidTr="00AD00B7">
        <w:trPr>
          <w:trHeight w:hRule="exact" w:val="425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color w:val="DA291C"/>
                <w:sz w:val="17"/>
                <w:szCs w:val="17"/>
              </w:rPr>
            </w:pPr>
            <w:r w:rsidRPr="00520B94">
              <w:rPr>
                <w:color w:val="DA291C"/>
                <w:sz w:val="17"/>
                <w:szCs w:val="17"/>
              </w:rPr>
              <w:t>Dati applicativi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color w:val="DA291C"/>
                <w:sz w:val="17"/>
                <w:szCs w:val="17"/>
              </w:rPr>
            </w:pP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Rapporto d’impasto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39172D" w:rsidP="0084004C">
            <w:pPr>
              <w:spacing w:before="0" w:after="0" w:line="200" w:lineRule="exact"/>
              <w:ind w:left="-108"/>
              <w:rPr>
                <w:spacing w:val="-12"/>
                <w:sz w:val="17"/>
                <w:szCs w:val="17"/>
              </w:rPr>
            </w:pPr>
            <w:r>
              <w:rPr>
                <w:spacing w:val="-12"/>
                <w:sz w:val="17"/>
                <w:szCs w:val="17"/>
              </w:rPr>
              <w:t>6,8 – 7,3</w:t>
            </w:r>
            <w:r w:rsidR="007C7351" w:rsidRPr="00520B94">
              <w:rPr>
                <w:spacing w:val="-12"/>
                <w:sz w:val="17"/>
                <w:szCs w:val="17"/>
              </w:rPr>
              <w:t xml:space="preserve"> </w:t>
            </w:r>
            <w:r w:rsidR="002F5999" w:rsidRPr="00520B94">
              <w:rPr>
                <w:spacing w:val="-12"/>
                <w:sz w:val="17"/>
                <w:szCs w:val="17"/>
              </w:rPr>
              <w:t xml:space="preserve">l di </w:t>
            </w:r>
            <w:r w:rsidR="00213B28" w:rsidRPr="00520B94">
              <w:rPr>
                <w:spacing w:val="-12"/>
                <w:sz w:val="17"/>
                <w:szCs w:val="17"/>
              </w:rPr>
              <w:t>a</w:t>
            </w:r>
            <w:r w:rsidR="007C7351" w:rsidRPr="00520B94">
              <w:rPr>
                <w:spacing w:val="-12"/>
                <w:sz w:val="17"/>
                <w:szCs w:val="17"/>
              </w:rPr>
              <w:t xml:space="preserve">cqua per sacco </w:t>
            </w:r>
            <w:r w:rsidR="0084004C">
              <w:rPr>
                <w:spacing w:val="-12"/>
                <w:sz w:val="17"/>
                <w:szCs w:val="17"/>
              </w:rPr>
              <w:t>da 2</w:t>
            </w:r>
            <w:r w:rsidR="007C7351" w:rsidRPr="00520B94">
              <w:rPr>
                <w:spacing w:val="-12"/>
                <w:sz w:val="17"/>
                <w:szCs w:val="17"/>
              </w:rPr>
              <w:t>5 k</w:t>
            </w:r>
            <w:r w:rsidR="002F5999" w:rsidRPr="00520B94">
              <w:rPr>
                <w:spacing w:val="-12"/>
                <w:sz w:val="17"/>
                <w:szCs w:val="17"/>
              </w:rPr>
              <w:t>g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Durata dell’impasto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8 ore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Temperatura di applicazione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da +5°C a +35°C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proofErr w:type="spellStart"/>
            <w:r w:rsidRPr="00520B94">
              <w:rPr>
                <w:sz w:val="17"/>
                <w:szCs w:val="17"/>
              </w:rPr>
              <w:t>pH</w:t>
            </w:r>
            <w:proofErr w:type="spellEnd"/>
            <w:r w:rsidRPr="00520B94">
              <w:rPr>
                <w:sz w:val="17"/>
                <w:szCs w:val="17"/>
              </w:rPr>
              <w:t xml:space="preserve"> dell’impasto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&gt; 12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Tempo aperto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30 minuti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Tempo di registrazione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20 minuti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Transitabilità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 xml:space="preserve">dopo 24 </w:t>
            </w:r>
            <w:r w:rsidR="00F2741A" w:rsidRPr="00520B94">
              <w:rPr>
                <w:sz w:val="17"/>
                <w:szCs w:val="17"/>
              </w:rPr>
              <w:t>–</w:t>
            </w:r>
            <w:r w:rsidRPr="00520B94">
              <w:rPr>
                <w:sz w:val="17"/>
                <w:szCs w:val="17"/>
              </w:rPr>
              <w:t xml:space="preserve"> 36</w:t>
            </w:r>
            <w:r w:rsidR="00F2741A" w:rsidRPr="00520B94">
              <w:rPr>
                <w:sz w:val="17"/>
                <w:szCs w:val="17"/>
              </w:rPr>
              <w:t xml:space="preserve"> </w:t>
            </w:r>
            <w:r w:rsidRPr="00520B94">
              <w:rPr>
                <w:sz w:val="17"/>
                <w:szCs w:val="17"/>
              </w:rPr>
              <w:t>ore</w:t>
            </w:r>
          </w:p>
        </w:tc>
        <w:bookmarkStart w:id="0" w:name="_GoBack"/>
        <w:bookmarkEnd w:id="0"/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Esecuzione fughe a parete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dopo 4 - 8 ore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Esecuzione fughe a pavimento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dopo 24 - 36 ore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Indurimento finale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14 giorni</w:t>
            </w:r>
          </w:p>
        </w:tc>
      </w:tr>
      <w:tr w:rsidR="002F5999" w:rsidRPr="00520B94" w:rsidTr="00AD00B7">
        <w:trPr>
          <w:trHeight w:hRule="exact" w:val="425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color w:val="DA291C"/>
                <w:sz w:val="17"/>
                <w:szCs w:val="17"/>
              </w:rPr>
            </w:pPr>
            <w:r w:rsidRPr="00520B94">
              <w:rPr>
                <w:color w:val="DA291C"/>
                <w:sz w:val="17"/>
                <w:szCs w:val="17"/>
              </w:rPr>
              <w:t>Prestazioni finali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color w:val="DA291C"/>
                <w:sz w:val="17"/>
                <w:szCs w:val="17"/>
              </w:rPr>
            </w:pP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Adesione iniziale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39172D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  <w:r w:rsidR="002F5999" w:rsidRPr="00520B94">
              <w:rPr>
                <w:sz w:val="17"/>
                <w:szCs w:val="17"/>
              </w:rPr>
              <w:t>,4 N/mm</w:t>
            </w:r>
            <w:r w:rsidR="002F5999" w:rsidRPr="00520B94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Adesione dopo azione del calore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39172D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2,2</w:t>
            </w:r>
            <w:r w:rsidR="002F5999" w:rsidRPr="00520B94">
              <w:rPr>
                <w:sz w:val="17"/>
                <w:szCs w:val="17"/>
              </w:rPr>
              <w:t xml:space="preserve"> N/mm</w:t>
            </w:r>
            <w:r w:rsidR="002F5999" w:rsidRPr="00520B94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Adesione dopo immersione in acqua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1,1 N/mm</w:t>
            </w:r>
            <w:r w:rsidRPr="00520B94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Adesione dopo cicli gelo-disgelo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9172D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1,</w:t>
            </w:r>
            <w:r w:rsidR="0039172D">
              <w:rPr>
                <w:sz w:val="17"/>
                <w:szCs w:val="17"/>
              </w:rPr>
              <w:t>2</w:t>
            </w:r>
            <w:r w:rsidRPr="00520B94">
              <w:rPr>
                <w:sz w:val="17"/>
                <w:szCs w:val="17"/>
              </w:rPr>
              <w:t xml:space="preserve"> N/mm</w:t>
            </w:r>
            <w:r w:rsidRPr="00520B94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Resistenza all’umidità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ottima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Resistenza all’invecchiamento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ottima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AF45AC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 xml:space="preserve">Resistenza ai solventi </w:t>
            </w:r>
            <w:r w:rsidR="0039172D" w:rsidRPr="00520B94">
              <w:rPr>
                <w:sz w:val="17"/>
                <w:szCs w:val="17"/>
              </w:rPr>
              <w:t xml:space="preserve">e </w:t>
            </w:r>
            <w:r w:rsidR="0039172D">
              <w:rPr>
                <w:sz w:val="17"/>
                <w:szCs w:val="17"/>
              </w:rPr>
              <w:t xml:space="preserve">agli </w:t>
            </w:r>
            <w:r w:rsidR="0039172D" w:rsidRPr="00520B94">
              <w:rPr>
                <w:sz w:val="17"/>
                <w:szCs w:val="17"/>
              </w:rPr>
              <w:t>alcali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buona</w:t>
            </w:r>
          </w:p>
        </w:tc>
      </w:tr>
      <w:tr w:rsidR="002F5999" w:rsidRPr="00520B94" w:rsidTr="00AD00B7">
        <w:trPr>
          <w:trHeight w:hRule="exact" w:val="227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9172D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Resistenza agli acidi</w:t>
            </w:r>
            <w:r w:rsidR="00AF45AC" w:rsidRPr="00520B94">
              <w:rPr>
                <w:sz w:val="17"/>
                <w:szCs w:val="17"/>
              </w:rPr>
              <w:t xml:space="preserve"> 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 w:rsidRPr="00520B94">
              <w:rPr>
                <w:sz w:val="17"/>
                <w:szCs w:val="17"/>
              </w:rPr>
              <w:t>scarsa</w:t>
            </w:r>
          </w:p>
        </w:tc>
      </w:tr>
      <w:tr w:rsidR="002F5999" w:rsidRPr="00520B94" w:rsidTr="00AD00B7">
        <w:trPr>
          <w:trHeight w:hRule="exact" w:val="425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FC3CC4" w:rsidP="003355D4">
            <w:pPr>
              <w:spacing w:before="0" w:after="0" w:line="200" w:lineRule="exact"/>
              <w:ind w:left="-108"/>
              <w:rPr>
                <w:color w:val="DA291C"/>
                <w:sz w:val="17"/>
                <w:szCs w:val="17"/>
              </w:rPr>
            </w:pPr>
            <w:r w:rsidRPr="00520B94">
              <w:rPr>
                <w:color w:val="DA291C"/>
                <w:sz w:val="17"/>
                <w:szCs w:val="17"/>
              </w:rPr>
              <w:t>Consumi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39172D" w:rsidP="0039172D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2,5 – 5,0</w:t>
            </w:r>
            <w:r w:rsidR="00FC3CC4" w:rsidRPr="00520B94">
              <w:rPr>
                <w:sz w:val="17"/>
                <w:szCs w:val="17"/>
              </w:rPr>
              <w:t xml:space="preserve"> kg/m</w:t>
            </w:r>
            <w:r w:rsidR="00FC3CC4" w:rsidRPr="00520B94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2F5999" w:rsidRPr="00520B94" w:rsidTr="00AD00B7">
        <w:trPr>
          <w:trHeight w:hRule="exact" w:val="652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FC3CC4" w:rsidRPr="00520B94" w:rsidRDefault="00FC3CC4" w:rsidP="005B2CCD">
            <w:pPr>
              <w:spacing w:before="0" w:after="0" w:line="200" w:lineRule="exact"/>
              <w:ind w:left="-108"/>
              <w:rPr>
                <w:color w:val="DA291C"/>
                <w:sz w:val="17"/>
                <w:szCs w:val="17"/>
              </w:rPr>
            </w:pPr>
            <w:r w:rsidRPr="00520B94">
              <w:rPr>
                <w:color w:val="DA291C"/>
                <w:sz w:val="17"/>
                <w:szCs w:val="17"/>
              </w:rPr>
              <w:t>Confezioni</w:t>
            </w:r>
            <w:r w:rsidR="006556BF">
              <w:rPr>
                <w:color w:val="DA291C"/>
                <w:sz w:val="17"/>
                <w:szCs w:val="17"/>
              </w:rPr>
              <w:t xml:space="preserve"> </w:t>
            </w:r>
            <w:proofErr w:type="spellStart"/>
            <w:r w:rsidR="005B2CCD">
              <w:rPr>
                <w:color w:val="DA291C"/>
                <w:sz w:val="17"/>
                <w:szCs w:val="17"/>
              </w:rPr>
              <w:t>I.B.ond</w:t>
            </w:r>
            <w:proofErr w:type="spellEnd"/>
            <w:r w:rsidR="005B2CCD">
              <w:rPr>
                <w:color w:val="DA291C"/>
                <w:sz w:val="17"/>
                <w:szCs w:val="17"/>
              </w:rPr>
              <w:t xml:space="preserve"> S1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39172D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sacco da 2</w:t>
            </w:r>
            <w:r w:rsidR="00FC3CC4" w:rsidRPr="00520B94">
              <w:rPr>
                <w:sz w:val="17"/>
                <w:szCs w:val="17"/>
              </w:rPr>
              <w:t>5 kg</w:t>
            </w:r>
          </w:p>
        </w:tc>
      </w:tr>
      <w:tr w:rsidR="002F5999" w:rsidRPr="00520B94" w:rsidTr="00AD00B7">
        <w:trPr>
          <w:trHeight w:hRule="exact" w:val="851"/>
        </w:trPr>
        <w:tc>
          <w:tcPr>
            <w:tcW w:w="4962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  <w:vAlign w:val="bottom"/>
          </w:tcPr>
          <w:p w:rsidR="002F5999" w:rsidRPr="00520B94" w:rsidRDefault="002F5999" w:rsidP="003355D4">
            <w:pPr>
              <w:spacing w:before="0" w:after="0" w:line="200" w:lineRule="exact"/>
              <w:ind w:left="-108"/>
              <w:rPr>
                <w:sz w:val="17"/>
                <w:szCs w:val="17"/>
              </w:rPr>
            </w:pPr>
          </w:p>
        </w:tc>
      </w:tr>
    </w:tbl>
    <w:p w:rsidR="00B50A60" w:rsidRPr="004D57A9" w:rsidRDefault="002F5999" w:rsidP="003355D4">
      <w:pPr>
        <w:pStyle w:val="Sottotitolo"/>
        <w:spacing w:before="240"/>
        <w:rPr>
          <w:i w:val="0"/>
          <w:spacing w:val="3"/>
          <w:sz w:val="12"/>
          <w:szCs w:val="12"/>
        </w:rPr>
      </w:pPr>
      <w:r w:rsidRPr="004D57A9">
        <w:rPr>
          <w:b/>
          <w:i w:val="0"/>
          <w:color w:val="DA291C"/>
          <w:spacing w:val="3"/>
          <w:sz w:val="12"/>
          <w:szCs w:val="12"/>
        </w:rPr>
        <w:t>Avvertenze:</w:t>
      </w:r>
      <w:r w:rsidRPr="004D57A9">
        <w:rPr>
          <w:i w:val="0"/>
          <w:spacing w:val="3"/>
          <w:sz w:val="12"/>
          <w:szCs w:val="12"/>
        </w:rPr>
        <w:t xml:space="preserve"> Le indicazioni e le prescrizioni sopra indicate, pur corrispondendo alla nostra migliore esperienza sono da ritenersi puramente indicative e dovranno essere confermate da esaurienti prove pratiche; pertanto prima di utilizzare il prodotto, chi intende farne uso è tenuto a stabilire se esso sia o meno adatto all’impiego previsto e comunque assume ogni responsabilità che possa derivare dal suo uso. PRODOTTO SOLO AD USO PROFESSIONALE.</w:t>
      </w:r>
    </w:p>
    <w:p w:rsidR="00A52B75" w:rsidRDefault="00A52B75" w:rsidP="003355D4">
      <w:pPr>
        <w:autoSpaceDE w:val="0"/>
        <w:autoSpaceDN w:val="0"/>
        <w:adjustRightInd w:val="0"/>
        <w:spacing w:before="0" w:after="0" w:line="160" w:lineRule="exact"/>
        <w:jc w:val="left"/>
        <w:rPr>
          <w:rFonts w:eastAsiaTheme="majorEastAsia" w:cstheme="majorBidi"/>
          <w:iCs/>
          <w:color w:val="auto"/>
          <w:spacing w:val="3"/>
          <w:sz w:val="12"/>
          <w:szCs w:val="12"/>
        </w:rPr>
      </w:pPr>
    </w:p>
    <w:p w:rsidR="006156CD" w:rsidRDefault="006156CD" w:rsidP="003355D4">
      <w:pPr>
        <w:autoSpaceDE w:val="0"/>
        <w:autoSpaceDN w:val="0"/>
        <w:adjustRightInd w:val="0"/>
        <w:spacing w:before="0" w:after="0" w:line="160" w:lineRule="exact"/>
        <w:jc w:val="left"/>
        <w:rPr>
          <w:rFonts w:eastAsiaTheme="majorEastAsia" w:cstheme="majorBidi"/>
          <w:iCs/>
          <w:color w:val="auto"/>
          <w:spacing w:val="3"/>
          <w:sz w:val="12"/>
          <w:szCs w:val="12"/>
        </w:rPr>
      </w:pPr>
    </w:p>
    <w:sectPr w:rsidR="006156CD" w:rsidSect="009D10C5">
      <w:footerReference w:type="default" r:id="rId13"/>
      <w:pgSz w:w="11906" w:h="16838" w:code="9"/>
      <w:pgMar w:top="1532" w:right="2608" w:bottom="1418" w:left="567" w:header="680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80B" w:rsidRDefault="0038780B" w:rsidP="00B50A60">
      <w:pPr>
        <w:spacing w:after="0" w:line="240" w:lineRule="auto"/>
      </w:pPr>
      <w:r>
        <w:separator/>
      </w:r>
    </w:p>
  </w:endnote>
  <w:endnote w:type="continuationSeparator" w:id="0">
    <w:p w:rsidR="0038780B" w:rsidRDefault="0038780B" w:rsidP="00B50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W1G 55 Roman"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NeueLT W1G 75 Bd"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B75" w:rsidRPr="00AD00B7" w:rsidRDefault="00A52B75" w:rsidP="00AD00B7">
    <w:pPr>
      <w:pStyle w:val="Pidipagina"/>
      <w:rPr>
        <w:rStyle w:val="Enfasidelicata"/>
        <w:i w:val="0"/>
        <w:iCs w:val="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80B" w:rsidRDefault="0038780B" w:rsidP="00B50A60">
      <w:pPr>
        <w:spacing w:after="0" w:line="240" w:lineRule="auto"/>
      </w:pPr>
      <w:r>
        <w:separator/>
      </w:r>
    </w:p>
  </w:footnote>
  <w:footnote w:type="continuationSeparator" w:id="0">
    <w:p w:rsidR="0038780B" w:rsidRDefault="0038780B" w:rsidP="00B50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A2268"/>
    <w:multiLevelType w:val="hybridMultilevel"/>
    <w:tmpl w:val="2F02A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21CE7"/>
    <w:multiLevelType w:val="hybridMultilevel"/>
    <w:tmpl w:val="047C7530"/>
    <w:lvl w:ilvl="0" w:tplc="E40C3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95EC4"/>
    <w:multiLevelType w:val="hybridMultilevel"/>
    <w:tmpl w:val="CB4486AE"/>
    <w:lvl w:ilvl="0" w:tplc="B940814C">
      <w:start w:val="1"/>
      <w:numFmt w:val="bullet"/>
      <w:lvlText w:val="•"/>
      <w:lvlJc w:val="left"/>
      <w:pPr>
        <w:ind w:left="720" w:hanging="360"/>
      </w:pPr>
      <w:rPr>
        <w:rFonts w:ascii="HelveticaNeueLT W1G 55 Roman" w:eastAsiaTheme="minorHAnsi" w:hAnsi="HelveticaNeueLT W1G 55 Roma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12D85"/>
    <w:multiLevelType w:val="hybridMultilevel"/>
    <w:tmpl w:val="28E2F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B79B5"/>
    <w:multiLevelType w:val="hybridMultilevel"/>
    <w:tmpl w:val="D1FA0D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94C74"/>
    <w:multiLevelType w:val="hybridMultilevel"/>
    <w:tmpl w:val="62E2E54C"/>
    <w:lvl w:ilvl="0" w:tplc="E40C3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755A9"/>
    <w:multiLevelType w:val="hybridMultilevel"/>
    <w:tmpl w:val="5F4EC5A6"/>
    <w:lvl w:ilvl="0" w:tplc="049C3AB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4A58DA"/>
    <w:multiLevelType w:val="hybridMultilevel"/>
    <w:tmpl w:val="E2686652"/>
    <w:lvl w:ilvl="0" w:tplc="98D82B78">
      <w:numFmt w:val="bullet"/>
      <w:lvlText w:val="•"/>
      <w:lvlJc w:val="left"/>
      <w:pPr>
        <w:ind w:left="720" w:hanging="360"/>
      </w:pPr>
      <w:rPr>
        <w:rFonts w:ascii="HelveticaNeueLT W1G 55 Roman" w:eastAsiaTheme="minorHAnsi" w:hAnsi="HelveticaNeueLT W1G 55 Roma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9A118E"/>
    <w:multiLevelType w:val="hybridMultilevel"/>
    <w:tmpl w:val="2A08EF9E"/>
    <w:lvl w:ilvl="0" w:tplc="934672BC">
      <w:start w:val="1"/>
      <w:numFmt w:val="bullet"/>
      <w:lvlText w:val="•"/>
      <w:lvlJc w:val="left"/>
      <w:pPr>
        <w:ind w:left="720" w:hanging="360"/>
      </w:pPr>
      <w:rPr>
        <w:rFonts w:ascii="HelveticaNeueLT W1G 55 Roman" w:eastAsiaTheme="minorHAnsi" w:hAnsi="HelveticaNeueLT W1G 55 Roma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294BD4"/>
    <w:multiLevelType w:val="hybridMultilevel"/>
    <w:tmpl w:val="6D4EE4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6D20C0"/>
    <w:multiLevelType w:val="hybridMultilevel"/>
    <w:tmpl w:val="2F4AB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CE4DB9"/>
    <w:multiLevelType w:val="hybridMultilevel"/>
    <w:tmpl w:val="E06AF6F8"/>
    <w:lvl w:ilvl="0" w:tplc="E40C3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7"/>
  </w:num>
  <w:num w:numId="9">
    <w:abstractNumId w:val="11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35"/>
    <w:rsid w:val="000036BF"/>
    <w:rsid w:val="00005B9B"/>
    <w:rsid w:val="00010360"/>
    <w:rsid w:val="000148CE"/>
    <w:rsid w:val="00024B3D"/>
    <w:rsid w:val="00026F31"/>
    <w:rsid w:val="0004580D"/>
    <w:rsid w:val="00055EA1"/>
    <w:rsid w:val="00062BBC"/>
    <w:rsid w:val="000636E3"/>
    <w:rsid w:val="00065016"/>
    <w:rsid w:val="000915FC"/>
    <w:rsid w:val="000937F0"/>
    <w:rsid w:val="000A3751"/>
    <w:rsid w:val="000B52FF"/>
    <w:rsid w:val="000B7BE9"/>
    <w:rsid w:val="000C0A66"/>
    <w:rsid w:val="000C7F0E"/>
    <w:rsid w:val="000D1705"/>
    <w:rsid w:val="000D303F"/>
    <w:rsid w:val="000D4BA0"/>
    <w:rsid w:val="000D66E9"/>
    <w:rsid w:val="000E3E5C"/>
    <w:rsid w:val="000F3C91"/>
    <w:rsid w:val="00102020"/>
    <w:rsid w:val="001062D7"/>
    <w:rsid w:val="00115754"/>
    <w:rsid w:val="001201E6"/>
    <w:rsid w:val="00122920"/>
    <w:rsid w:val="00125B3E"/>
    <w:rsid w:val="001272C3"/>
    <w:rsid w:val="00135F97"/>
    <w:rsid w:val="00137E12"/>
    <w:rsid w:val="00143596"/>
    <w:rsid w:val="00146BFC"/>
    <w:rsid w:val="00150921"/>
    <w:rsid w:val="00156D8C"/>
    <w:rsid w:val="0016241D"/>
    <w:rsid w:val="0019638B"/>
    <w:rsid w:val="001A1D17"/>
    <w:rsid w:val="001B0F85"/>
    <w:rsid w:val="001D1DA0"/>
    <w:rsid w:val="001E0E7A"/>
    <w:rsid w:val="002013C4"/>
    <w:rsid w:val="00204B74"/>
    <w:rsid w:val="00213B28"/>
    <w:rsid w:val="0021776C"/>
    <w:rsid w:val="0022011C"/>
    <w:rsid w:val="002211BC"/>
    <w:rsid w:val="00222335"/>
    <w:rsid w:val="002479F5"/>
    <w:rsid w:val="002511A5"/>
    <w:rsid w:val="00260382"/>
    <w:rsid w:val="00262E03"/>
    <w:rsid w:val="00264991"/>
    <w:rsid w:val="00270E87"/>
    <w:rsid w:val="00272F47"/>
    <w:rsid w:val="00286117"/>
    <w:rsid w:val="0029446D"/>
    <w:rsid w:val="002A2EBB"/>
    <w:rsid w:val="002B7449"/>
    <w:rsid w:val="002C1B68"/>
    <w:rsid w:val="002C2B2C"/>
    <w:rsid w:val="002D32C1"/>
    <w:rsid w:val="002D5ADE"/>
    <w:rsid w:val="002F1D41"/>
    <w:rsid w:val="002F3DE8"/>
    <w:rsid w:val="002F5999"/>
    <w:rsid w:val="0031574F"/>
    <w:rsid w:val="003222EA"/>
    <w:rsid w:val="00322738"/>
    <w:rsid w:val="003239F6"/>
    <w:rsid w:val="00325DE4"/>
    <w:rsid w:val="00326573"/>
    <w:rsid w:val="003355D4"/>
    <w:rsid w:val="00343A54"/>
    <w:rsid w:val="00346023"/>
    <w:rsid w:val="003560AE"/>
    <w:rsid w:val="003758C7"/>
    <w:rsid w:val="0038780B"/>
    <w:rsid w:val="0039172D"/>
    <w:rsid w:val="00391953"/>
    <w:rsid w:val="00391993"/>
    <w:rsid w:val="003A499B"/>
    <w:rsid w:val="003B233A"/>
    <w:rsid w:val="003C2287"/>
    <w:rsid w:val="003C3113"/>
    <w:rsid w:val="003C7FDE"/>
    <w:rsid w:val="003D21CF"/>
    <w:rsid w:val="003D3A70"/>
    <w:rsid w:val="003F384D"/>
    <w:rsid w:val="00400E39"/>
    <w:rsid w:val="00402258"/>
    <w:rsid w:val="00426D69"/>
    <w:rsid w:val="00435C99"/>
    <w:rsid w:val="0044186E"/>
    <w:rsid w:val="00441996"/>
    <w:rsid w:val="00467D3C"/>
    <w:rsid w:val="00483D40"/>
    <w:rsid w:val="0049644D"/>
    <w:rsid w:val="004A2391"/>
    <w:rsid w:val="004A63B8"/>
    <w:rsid w:val="004B25AA"/>
    <w:rsid w:val="004B4D1C"/>
    <w:rsid w:val="004D57A9"/>
    <w:rsid w:val="004E39BC"/>
    <w:rsid w:val="004E58D9"/>
    <w:rsid w:val="004F0BF4"/>
    <w:rsid w:val="004F5437"/>
    <w:rsid w:val="004F73DE"/>
    <w:rsid w:val="004F7EEE"/>
    <w:rsid w:val="00502E09"/>
    <w:rsid w:val="00520B94"/>
    <w:rsid w:val="005325A3"/>
    <w:rsid w:val="005352BB"/>
    <w:rsid w:val="005376BF"/>
    <w:rsid w:val="005636EA"/>
    <w:rsid w:val="00571139"/>
    <w:rsid w:val="00577D66"/>
    <w:rsid w:val="00584DE5"/>
    <w:rsid w:val="00591B42"/>
    <w:rsid w:val="005A1E75"/>
    <w:rsid w:val="005A460B"/>
    <w:rsid w:val="005A618C"/>
    <w:rsid w:val="005B1D6B"/>
    <w:rsid w:val="005B2309"/>
    <w:rsid w:val="005B2CCD"/>
    <w:rsid w:val="005B30CD"/>
    <w:rsid w:val="005B3E21"/>
    <w:rsid w:val="005B4022"/>
    <w:rsid w:val="005C0AD2"/>
    <w:rsid w:val="005C3EF1"/>
    <w:rsid w:val="005C4D79"/>
    <w:rsid w:val="005C72C8"/>
    <w:rsid w:val="005D2B13"/>
    <w:rsid w:val="005D4990"/>
    <w:rsid w:val="005E3C39"/>
    <w:rsid w:val="005E3F12"/>
    <w:rsid w:val="00606E1F"/>
    <w:rsid w:val="006156CD"/>
    <w:rsid w:val="0062247B"/>
    <w:rsid w:val="0062260C"/>
    <w:rsid w:val="006317BE"/>
    <w:rsid w:val="00634545"/>
    <w:rsid w:val="00634D14"/>
    <w:rsid w:val="00641D13"/>
    <w:rsid w:val="00641DF7"/>
    <w:rsid w:val="00644C03"/>
    <w:rsid w:val="00650D84"/>
    <w:rsid w:val="00651AC6"/>
    <w:rsid w:val="006556BF"/>
    <w:rsid w:val="00673B01"/>
    <w:rsid w:val="00675E28"/>
    <w:rsid w:val="00692CAB"/>
    <w:rsid w:val="006975C7"/>
    <w:rsid w:val="006A373B"/>
    <w:rsid w:val="006B5583"/>
    <w:rsid w:val="006C0622"/>
    <w:rsid w:val="006E1633"/>
    <w:rsid w:val="006E1EF1"/>
    <w:rsid w:val="006F543F"/>
    <w:rsid w:val="006F7422"/>
    <w:rsid w:val="006F79C1"/>
    <w:rsid w:val="0070149B"/>
    <w:rsid w:val="00701830"/>
    <w:rsid w:val="0070564F"/>
    <w:rsid w:val="00720E17"/>
    <w:rsid w:val="00752BFE"/>
    <w:rsid w:val="0075687B"/>
    <w:rsid w:val="00760731"/>
    <w:rsid w:val="007722B9"/>
    <w:rsid w:val="00783D72"/>
    <w:rsid w:val="0078762C"/>
    <w:rsid w:val="007A3AB7"/>
    <w:rsid w:val="007A5A9A"/>
    <w:rsid w:val="007B66F3"/>
    <w:rsid w:val="007C10EE"/>
    <w:rsid w:val="007C24F0"/>
    <w:rsid w:val="007C7351"/>
    <w:rsid w:val="007E2B2E"/>
    <w:rsid w:val="007F17E2"/>
    <w:rsid w:val="00803ABA"/>
    <w:rsid w:val="00805F90"/>
    <w:rsid w:val="0081155C"/>
    <w:rsid w:val="00823645"/>
    <w:rsid w:val="00825E55"/>
    <w:rsid w:val="00827A4B"/>
    <w:rsid w:val="00830AE9"/>
    <w:rsid w:val="0084004C"/>
    <w:rsid w:val="00852142"/>
    <w:rsid w:val="00852E0A"/>
    <w:rsid w:val="008567D8"/>
    <w:rsid w:val="00860D2D"/>
    <w:rsid w:val="00865B4D"/>
    <w:rsid w:val="008708D0"/>
    <w:rsid w:val="008723E1"/>
    <w:rsid w:val="00872DD6"/>
    <w:rsid w:val="0088120F"/>
    <w:rsid w:val="008A08CB"/>
    <w:rsid w:val="008A145B"/>
    <w:rsid w:val="008A3525"/>
    <w:rsid w:val="008A4AA3"/>
    <w:rsid w:val="008A55A2"/>
    <w:rsid w:val="008A644B"/>
    <w:rsid w:val="008B703C"/>
    <w:rsid w:val="008B7FA8"/>
    <w:rsid w:val="008C0B7F"/>
    <w:rsid w:val="008D2816"/>
    <w:rsid w:val="008D7FA0"/>
    <w:rsid w:val="008E7D81"/>
    <w:rsid w:val="009042D4"/>
    <w:rsid w:val="00904CB3"/>
    <w:rsid w:val="00907A8B"/>
    <w:rsid w:val="009102F0"/>
    <w:rsid w:val="00927274"/>
    <w:rsid w:val="00937063"/>
    <w:rsid w:val="0095086F"/>
    <w:rsid w:val="00950FE9"/>
    <w:rsid w:val="009569FC"/>
    <w:rsid w:val="00963861"/>
    <w:rsid w:val="00982E16"/>
    <w:rsid w:val="00986283"/>
    <w:rsid w:val="00991C24"/>
    <w:rsid w:val="009A797C"/>
    <w:rsid w:val="009B154E"/>
    <w:rsid w:val="009D10C5"/>
    <w:rsid w:val="009D3071"/>
    <w:rsid w:val="009E5F58"/>
    <w:rsid w:val="009F05D6"/>
    <w:rsid w:val="009F69A3"/>
    <w:rsid w:val="00A0367D"/>
    <w:rsid w:val="00A045C6"/>
    <w:rsid w:val="00A0704E"/>
    <w:rsid w:val="00A1202D"/>
    <w:rsid w:val="00A12120"/>
    <w:rsid w:val="00A204A1"/>
    <w:rsid w:val="00A34B4F"/>
    <w:rsid w:val="00A411A3"/>
    <w:rsid w:val="00A43F6B"/>
    <w:rsid w:val="00A50A40"/>
    <w:rsid w:val="00A52B75"/>
    <w:rsid w:val="00A6113E"/>
    <w:rsid w:val="00A61770"/>
    <w:rsid w:val="00A62380"/>
    <w:rsid w:val="00A81734"/>
    <w:rsid w:val="00A9141A"/>
    <w:rsid w:val="00A929EE"/>
    <w:rsid w:val="00A9668E"/>
    <w:rsid w:val="00A976B2"/>
    <w:rsid w:val="00A977A7"/>
    <w:rsid w:val="00AA6E36"/>
    <w:rsid w:val="00AB02D0"/>
    <w:rsid w:val="00AC5E16"/>
    <w:rsid w:val="00AD00B7"/>
    <w:rsid w:val="00AD35AE"/>
    <w:rsid w:val="00AD75CD"/>
    <w:rsid w:val="00AE5D6A"/>
    <w:rsid w:val="00AF45AC"/>
    <w:rsid w:val="00AF7DCD"/>
    <w:rsid w:val="00B04A62"/>
    <w:rsid w:val="00B128FD"/>
    <w:rsid w:val="00B15042"/>
    <w:rsid w:val="00B20E8E"/>
    <w:rsid w:val="00B2438F"/>
    <w:rsid w:val="00B25C42"/>
    <w:rsid w:val="00B31352"/>
    <w:rsid w:val="00B352DD"/>
    <w:rsid w:val="00B506A0"/>
    <w:rsid w:val="00B50A60"/>
    <w:rsid w:val="00B544D7"/>
    <w:rsid w:val="00B711BF"/>
    <w:rsid w:val="00B7300D"/>
    <w:rsid w:val="00BA2BD7"/>
    <w:rsid w:val="00BA3DAF"/>
    <w:rsid w:val="00BA6367"/>
    <w:rsid w:val="00BA68BF"/>
    <w:rsid w:val="00BB19C9"/>
    <w:rsid w:val="00BB31C8"/>
    <w:rsid w:val="00BF3490"/>
    <w:rsid w:val="00BF3E2A"/>
    <w:rsid w:val="00C20CE7"/>
    <w:rsid w:val="00C26D5A"/>
    <w:rsid w:val="00C335E6"/>
    <w:rsid w:val="00C346E1"/>
    <w:rsid w:val="00C3682B"/>
    <w:rsid w:val="00C44885"/>
    <w:rsid w:val="00C527D5"/>
    <w:rsid w:val="00C63391"/>
    <w:rsid w:val="00C65BEA"/>
    <w:rsid w:val="00C74CE5"/>
    <w:rsid w:val="00C75F17"/>
    <w:rsid w:val="00C843E1"/>
    <w:rsid w:val="00C9185B"/>
    <w:rsid w:val="00C91D8E"/>
    <w:rsid w:val="00C91DB4"/>
    <w:rsid w:val="00C9298A"/>
    <w:rsid w:val="00C96BDA"/>
    <w:rsid w:val="00CB3A81"/>
    <w:rsid w:val="00CB5299"/>
    <w:rsid w:val="00CC1815"/>
    <w:rsid w:val="00CC2A29"/>
    <w:rsid w:val="00CC33F8"/>
    <w:rsid w:val="00CF03E2"/>
    <w:rsid w:val="00CF0597"/>
    <w:rsid w:val="00CF3D69"/>
    <w:rsid w:val="00CF586E"/>
    <w:rsid w:val="00D004E4"/>
    <w:rsid w:val="00D124D3"/>
    <w:rsid w:val="00D2251C"/>
    <w:rsid w:val="00D2313F"/>
    <w:rsid w:val="00D326FA"/>
    <w:rsid w:val="00D33832"/>
    <w:rsid w:val="00D37802"/>
    <w:rsid w:val="00D42D19"/>
    <w:rsid w:val="00D44365"/>
    <w:rsid w:val="00D50743"/>
    <w:rsid w:val="00D513AF"/>
    <w:rsid w:val="00D65262"/>
    <w:rsid w:val="00D662A7"/>
    <w:rsid w:val="00D70CF1"/>
    <w:rsid w:val="00D755F3"/>
    <w:rsid w:val="00D75B3A"/>
    <w:rsid w:val="00D8256E"/>
    <w:rsid w:val="00D94AFD"/>
    <w:rsid w:val="00D97780"/>
    <w:rsid w:val="00DA0087"/>
    <w:rsid w:val="00DA5A13"/>
    <w:rsid w:val="00DA6835"/>
    <w:rsid w:val="00DB5650"/>
    <w:rsid w:val="00DC4170"/>
    <w:rsid w:val="00DC55EA"/>
    <w:rsid w:val="00DD16ED"/>
    <w:rsid w:val="00DF52B9"/>
    <w:rsid w:val="00E12A4C"/>
    <w:rsid w:val="00E1526C"/>
    <w:rsid w:val="00E15A1D"/>
    <w:rsid w:val="00E257EA"/>
    <w:rsid w:val="00E266AD"/>
    <w:rsid w:val="00E615FB"/>
    <w:rsid w:val="00E63581"/>
    <w:rsid w:val="00E6769F"/>
    <w:rsid w:val="00E76BD8"/>
    <w:rsid w:val="00E81724"/>
    <w:rsid w:val="00E93105"/>
    <w:rsid w:val="00EB2755"/>
    <w:rsid w:val="00EC1957"/>
    <w:rsid w:val="00EC3230"/>
    <w:rsid w:val="00EC4F95"/>
    <w:rsid w:val="00EC5125"/>
    <w:rsid w:val="00EC5BD8"/>
    <w:rsid w:val="00EC6547"/>
    <w:rsid w:val="00EE04B1"/>
    <w:rsid w:val="00EE6A2E"/>
    <w:rsid w:val="00EF35F4"/>
    <w:rsid w:val="00F2560E"/>
    <w:rsid w:val="00F2741A"/>
    <w:rsid w:val="00F36240"/>
    <w:rsid w:val="00F41B26"/>
    <w:rsid w:val="00F44D56"/>
    <w:rsid w:val="00F51573"/>
    <w:rsid w:val="00F56375"/>
    <w:rsid w:val="00F60322"/>
    <w:rsid w:val="00F64AC7"/>
    <w:rsid w:val="00F93970"/>
    <w:rsid w:val="00FA099B"/>
    <w:rsid w:val="00FA6363"/>
    <w:rsid w:val="00FC3CC4"/>
    <w:rsid w:val="00FD14E3"/>
    <w:rsid w:val="00FF0EF1"/>
    <w:rsid w:val="00FF4B53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D57A9"/>
    <w:pPr>
      <w:spacing w:before="240" w:after="240" w:line="240" w:lineRule="exact"/>
      <w:jc w:val="both"/>
    </w:pPr>
    <w:rPr>
      <w:rFonts w:ascii="HelveticaNeueLT W1G 55 Roman" w:hAnsi="HelveticaNeueLT W1G 55 Roman"/>
      <w:color w:val="3C3C3C"/>
      <w:sz w:val="16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2380"/>
    <w:pPr>
      <w:keepNext/>
      <w:keepLines/>
      <w:spacing w:before="480" w:after="0"/>
      <w:outlineLvl w:val="0"/>
    </w:pPr>
    <w:rPr>
      <w:rFonts w:eastAsiaTheme="majorEastAsia" w:cstheme="majorBidi"/>
      <w:bCs/>
      <w:color w:val="DA291C"/>
      <w:sz w:val="52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B52FF"/>
    <w:pPr>
      <w:keepNext/>
      <w:keepLines/>
      <w:spacing w:before="200" w:after="0"/>
      <w:outlineLvl w:val="1"/>
    </w:pPr>
    <w:rPr>
      <w:rFonts w:eastAsiaTheme="majorEastAsia" w:cstheme="majorBidi"/>
      <w:bCs/>
      <w:color w:val="DA291C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D3A70"/>
    <w:pPr>
      <w:keepNext/>
      <w:keepLines/>
      <w:spacing w:line="480" w:lineRule="exact"/>
      <w:outlineLvl w:val="2"/>
    </w:pPr>
    <w:rPr>
      <w:rFonts w:asciiTheme="majorHAnsi" w:eastAsiaTheme="majorEastAsia" w:hAnsiTheme="majorHAnsi" w:cstheme="majorBidi"/>
      <w:b/>
      <w:bCs/>
      <w:color w:val="BFBFBF" w:themeColor="background1" w:themeShade="BF"/>
      <w:sz w:val="5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0B52FF"/>
    <w:rPr>
      <w:rFonts w:ascii="HelveticaNeueLT W1G 55 Roman" w:eastAsiaTheme="majorEastAsia" w:hAnsi="HelveticaNeueLT W1G 55 Roman" w:cstheme="majorBidi"/>
      <w:bCs/>
      <w:color w:val="DA291C"/>
      <w:sz w:val="1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62380"/>
    <w:rPr>
      <w:rFonts w:ascii="HelveticaNeueLT W1G 55 Roman" w:eastAsiaTheme="majorEastAsia" w:hAnsi="HelveticaNeueLT W1G 55 Roman" w:cstheme="majorBidi"/>
      <w:bCs/>
      <w:color w:val="DA291C"/>
      <w:sz w:val="52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31C8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31C8"/>
    <w:rPr>
      <w:rFonts w:ascii="Tahoma" w:hAnsi="Tahoma" w:cs="Tahoma"/>
      <w:sz w:val="16"/>
      <w:szCs w:val="16"/>
    </w:rPr>
  </w:style>
  <w:style w:type="paragraph" w:styleId="Nessunaspaziatura">
    <w:name w:val="No Spacing"/>
    <w:aliases w:val="Intestazione 2"/>
    <w:uiPriority w:val="1"/>
    <w:qFormat/>
    <w:rsid w:val="00A62380"/>
    <w:pPr>
      <w:spacing w:after="0" w:line="20" w:lineRule="exact"/>
    </w:pPr>
    <w:rPr>
      <w:rFonts w:ascii="HelveticaNeueLT W1G 55 Roman" w:hAnsi="HelveticaNeueLT W1G 55 Roman"/>
      <w:sz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D3A70"/>
    <w:rPr>
      <w:rFonts w:asciiTheme="majorHAnsi" w:eastAsiaTheme="majorEastAsia" w:hAnsiTheme="majorHAnsi" w:cstheme="majorBidi"/>
      <w:b/>
      <w:bCs/>
      <w:color w:val="BFBFBF" w:themeColor="background1" w:themeShade="BF"/>
      <w:sz w:val="56"/>
    </w:rPr>
  </w:style>
  <w:style w:type="table" w:styleId="Grigliatabella">
    <w:name w:val="Table Grid"/>
    <w:basedOn w:val="Tabellanormale"/>
    <w:uiPriority w:val="59"/>
    <w:rsid w:val="00B5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50A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0A60"/>
    <w:rPr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B50A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0A60"/>
    <w:rPr>
      <w:sz w:val="24"/>
    </w:rPr>
  </w:style>
  <w:style w:type="paragraph" w:customStyle="1" w:styleId="pidipaginaADESITAL">
    <w:name w:val="piè di pagina ADESITAL"/>
    <w:basedOn w:val="Normale"/>
    <w:qFormat/>
    <w:rsid w:val="000B52FF"/>
    <w:pPr>
      <w:pBdr>
        <w:top w:val="single" w:sz="8" w:space="1" w:color="E30712"/>
      </w:pBdr>
      <w:spacing w:before="480" w:after="180" w:line="264" w:lineRule="auto"/>
      <w:jc w:val="right"/>
    </w:pPr>
    <w:rPr>
      <w:rFonts w:eastAsiaTheme="minorEastAsia"/>
      <w:color w:val="E30712"/>
      <w:szCs w:val="23"/>
      <w:lang w:eastAsia="fr-FR"/>
    </w:rPr>
  </w:style>
  <w:style w:type="paragraph" w:styleId="Paragrafoelenco">
    <w:name w:val="List Paragraph"/>
    <w:basedOn w:val="Normale"/>
    <w:uiPriority w:val="34"/>
    <w:qFormat/>
    <w:rsid w:val="00F60322"/>
    <w:pPr>
      <w:contextualSpacing/>
    </w:pPr>
  </w:style>
  <w:style w:type="paragraph" w:styleId="Sottotitolo">
    <w:name w:val="Subtitle"/>
    <w:aliases w:val="Avvertenze"/>
    <w:basedOn w:val="Normale"/>
    <w:next w:val="Normale"/>
    <w:link w:val="SottotitoloCarattere"/>
    <w:uiPriority w:val="11"/>
    <w:qFormat/>
    <w:rsid w:val="002F5999"/>
    <w:pPr>
      <w:numPr>
        <w:ilvl w:val="1"/>
      </w:numPr>
      <w:spacing w:before="0" w:after="0" w:line="160" w:lineRule="exact"/>
    </w:pPr>
    <w:rPr>
      <w:rFonts w:eastAsiaTheme="majorEastAsia" w:cstheme="majorBidi"/>
      <w:i/>
      <w:iCs/>
      <w:color w:val="auto"/>
      <w:spacing w:val="15"/>
      <w:szCs w:val="24"/>
    </w:rPr>
  </w:style>
  <w:style w:type="character" w:customStyle="1" w:styleId="SottotitoloCarattere">
    <w:name w:val="Sottotitolo Carattere"/>
    <w:aliases w:val="Avvertenze Carattere"/>
    <w:basedOn w:val="Carpredefinitoparagrafo"/>
    <w:link w:val="Sottotitolo"/>
    <w:uiPriority w:val="11"/>
    <w:rsid w:val="002F5999"/>
    <w:rPr>
      <w:rFonts w:ascii="Browallia New" w:eastAsiaTheme="majorEastAsia" w:hAnsi="Browallia New" w:cstheme="majorBidi"/>
      <w:i/>
      <w:iCs/>
      <w:spacing w:val="15"/>
      <w:sz w:val="16"/>
      <w:szCs w:val="24"/>
    </w:rPr>
  </w:style>
  <w:style w:type="character" w:styleId="Enfasidelicata">
    <w:name w:val="Subtle Emphasis"/>
    <w:aliases w:val="Piè di pagina 2"/>
    <w:basedOn w:val="Carpredefinitoparagrafo"/>
    <w:uiPriority w:val="19"/>
    <w:qFormat/>
    <w:rsid w:val="0031574F"/>
    <w:rPr>
      <w:rFonts w:ascii="HelveticaNeueLT W1G 55 Roman" w:hAnsi="HelveticaNeueLT W1G 55 Roman"/>
      <w:b w:val="0"/>
      <w:i/>
      <w:iCs/>
      <w:color w:val="3C3C3C"/>
      <w:sz w:val="12"/>
    </w:rPr>
  </w:style>
  <w:style w:type="character" w:styleId="Collegamentoipertestuale">
    <w:name w:val="Hyperlink"/>
    <w:basedOn w:val="Carpredefinitoparagrafo"/>
    <w:uiPriority w:val="99"/>
    <w:unhideWhenUsed/>
    <w:rsid w:val="005A61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D57A9"/>
    <w:pPr>
      <w:spacing w:before="240" w:after="240" w:line="240" w:lineRule="exact"/>
      <w:jc w:val="both"/>
    </w:pPr>
    <w:rPr>
      <w:rFonts w:ascii="HelveticaNeueLT W1G 55 Roman" w:hAnsi="HelveticaNeueLT W1G 55 Roman"/>
      <w:color w:val="3C3C3C"/>
      <w:sz w:val="16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2380"/>
    <w:pPr>
      <w:keepNext/>
      <w:keepLines/>
      <w:spacing w:before="480" w:after="0"/>
      <w:outlineLvl w:val="0"/>
    </w:pPr>
    <w:rPr>
      <w:rFonts w:eastAsiaTheme="majorEastAsia" w:cstheme="majorBidi"/>
      <w:bCs/>
      <w:color w:val="DA291C"/>
      <w:sz w:val="52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B52FF"/>
    <w:pPr>
      <w:keepNext/>
      <w:keepLines/>
      <w:spacing w:before="200" w:after="0"/>
      <w:outlineLvl w:val="1"/>
    </w:pPr>
    <w:rPr>
      <w:rFonts w:eastAsiaTheme="majorEastAsia" w:cstheme="majorBidi"/>
      <w:bCs/>
      <w:color w:val="DA291C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D3A70"/>
    <w:pPr>
      <w:keepNext/>
      <w:keepLines/>
      <w:spacing w:line="480" w:lineRule="exact"/>
      <w:outlineLvl w:val="2"/>
    </w:pPr>
    <w:rPr>
      <w:rFonts w:asciiTheme="majorHAnsi" w:eastAsiaTheme="majorEastAsia" w:hAnsiTheme="majorHAnsi" w:cstheme="majorBidi"/>
      <w:b/>
      <w:bCs/>
      <w:color w:val="BFBFBF" w:themeColor="background1" w:themeShade="BF"/>
      <w:sz w:val="5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0B52FF"/>
    <w:rPr>
      <w:rFonts w:ascii="HelveticaNeueLT W1G 55 Roman" w:eastAsiaTheme="majorEastAsia" w:hAnsi="HelveticaNeueLT W1G 55 Roman" w:cstheme="majorBidi"/>
      <w:bCs/>
      <w:color w:val="DA291C"/>
      <w:sz w:val="1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62380"/>
    <w:rPr>
      <w:rFonts w:ascii="HelveticaNeueLT W1G 55 Roman" w:eastAsiaTheme="majorEastAsia" w:hAnsi="HelveticaNeueLT W1G 55 Roman" w:cstheme="majorBidi"/>
      <w:bCs/>
      <w:color w:val="DA291C"/>
      <w:sz w:val="52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31C8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31C8"/>
    <w:rPr>
      <w:rFonts w:ascii="Tahoma" w:hAnsi="Tahoma" w:cs="Tahoma"/>
      <w:sz w:val="16"/>
      <w:szCs w:val="16"/>
    </w:rPr>
  </w:style>
  <w:style w:type="paragraph" w:styleId="Nessunaspaziatura">
    <w:name w:val="No Spacing"/>
    <w:aliases w:val="Intestazione 2"/>
    <w:uiPriority w:val="1"/>
    <w:qFormat/>
    <w:rsid w:val="00A62380"/>
    <w:pPr>
      <w:spacing w:after="0" w:line="20" w:lineRule="exact"/>
    </w:pPr>
    <w:rPr>
      <w:rFonts w:ascii="HelveticaNeueLT W1G 55 Roman" w:hAnsi="HelveticaNeueLT W1G 55 Roman"/>
      <w:sz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D3A70"/>
    <w:rPr>
      <w:rFonts w:asciiTheme="majorHAnsi" w:eastAsiaTheme="majorEastAsia" w:hAnsiTheme="majorHAnsi" w:cstheme="majorBidi"/>
      <w:b/>
      <w:bCs/>
      <w:color w:val="BFBFBF" w:themeColor="background1" w:themeShade="BF"/>
      <w:sz w:val="56"/>
    </w:rPr>
  </w:style>
  <w:style w:type="table" w:styleId="Grigliatabella">
    <w:name w:val="Table Grid"/>
    <w:basedOn w:val="Tabellanormale"/>
    <w:uiPriority w:val="59"/>
    <w:rsid w:val="00B5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50A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0A60"/>
    <w:rPr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B50A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0A60"/>
    <w:rPr>
      <w:sz w:val="24"/>
    </w:rPr>
  </w:style>
  <w:style w:type="paragraph" w:customStyle="1" w:styleId="pidipaginaADESITAL">
    <w:name w:val="piè di pagina ADESITAL"/>
    <w:basedOn w:val="Normale"/>
    <w:qFormat/>
    <w:rsid w:val="000B52FF"/>
    <w:pPr>
      <w:pBdr>
        <w:top w:val="single" w:sz="8" w:space="1" w:color="E30712"/>
      </w:pBdr>
      <w:spacing w:before="480" w:after="180" w:line="264" w:lineRule="auto"/>
      <w:jc w:val="right"/>
    </w:pPr>
    <w:rPr>
      <w:rFonts w:eastAsiaTheme="minorEastAsia"/>
      <w:color w:val="E30712"/>
      <w:szCs w:val="23"/>
      <w:lang w:eastAsia="fr-FR"/>
    </w:rPr>
  </w:style>
  <w:style w:type="paragraph" w:styleId="Paragrafoelenco">
    <w:name w:val="List Paragraph"/>
    <w:basedOn w:val="Normale"/>
    <w:uiPriority w:val="34"/>
    <w:qFormat/>
    <w:rsid w:val="00F60322"/>
    <w:pPr>
      <w:contextualSpacing/>
    </w:pPr>
  </w:style>
  <w:style w:type="paragraph" w:styleId="Sottotitolo">
    <w:name w:val="Subtitle"/>
    <w:aliases w:val="Avvertenze"/>
    <w:basedOn w:val="Normale"/>
    <w:next w:val="Normale"/>
    <w:link w:val="SottotitoloCarattere"/>
    <w:uiPriority w:val="11"/>
    <w:qFormat/>
    <w:rsid w:val="002F5999"/>
    <w:pPr>
      <w:numPr>
        <w:ilvl w:val="1"/>
      </w:numPr>
      <w:spacing w:before="0" w:after="0" w:line="160" w:lineRule="exact"/>
    </w:pPr>
    <w:rPr>
      <w:rFonts w:eastAsiaTheme="majorEastAsia" w:cstheme="majorBidi"/>
      <w:i/>
      <w:iCs/>
      <w:color w:val="auto"/>
      <w:spacing w:val="15"/>
      <w:szCs w:val="24"/>
    </w:rPr>
  </w:style>
  <w:style w:type="character" w:customStyle="1" w:styleId="SottotitoloCarattere">
    <w:name w:val="Sottotitolo Carattere"/>
    <w:aliases w:val="Avvertenze Carattere"/>
    <w:basedOn w:val="Carpredefinitoparagrafo"/>
    <w:link w:val="Sottotitolo"/>
    <w:uiPriority w:val="11"/>
    <w:rsid w:val="002F5999"/>
    <w:rPr>
      <w:rFonts w:ascii="Browallia New" w:eastAsiaTheme="majorEastAsia" w:hAnsi="Browallia New" w:cstheme="majorBidi"/>
      <w:i/>
      <w:iCs/>
      <w:spacing w:val="15"/>
      <w:sz w:val="16"/>
      <w:szCs w:val="24"/>
    </w:rPr>
  </w:style>
  <w:style w:type="character" w:styleId="Enfasidelicata">
    <w:name w:val="Subtle Emphasis"/>
    <w:aliases w:val="Piè di pagina 2"/>
    <w:basedOn w:val="Carpredefinitoparagrafo"/>
    <w:uiPriority w:val="19"/>
    <w:qFormat/>
    <w:rsid w:val="0031574F"/>
    <w:rPr>
      <w:rFonts w:ascii="HelveticaNeueLT W1G 55 Roman" w:hAnsi="HelveticaNeueLT W1G 55 Roman"/>
      <w:b w:val="0"/>
      <w:i/>
      <w:iCs/>
      <w:color w:val="3C3C3C"/>
      <w:sz w:val="12"/>
    </w:rPr>
  </w:style>
  <w:style w:type="character" w:styleId="Collegamentoipertestuale">
    <w:name w:val="Hyperlink"/>
    <w:basedOn w:val="Carpredefinitoparagrafo"/>
    <w:uiPriority w:val="99"/>
    <w:unhideWhenUsed/>
    <w:rsid w:val="005A61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201CD-F94B-4CCF-8A44-C4791A321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Mapei S.p.A.</Company>
  <LinksUpToDate>false</LinksUpToDate>
  <CharactersWithSpaces>9599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Berselli Cesare</dc:creator>
  <cp:lastModifiedBy>Berselli Cesare</cp:lastModifiedBy>
  <cp:revision>32</cp:revision>
  <cp:lastPrinted>2016-12-22T09:45:00Z</cp:lastPrinted>
  <dcterms:created xsi:type="dcterms:W3CDTF">2016-12-21T15:30:00Z</dcterms:created>
  <dcterms:modified xsi:type="dcterms:W3CDTF">2017-04-19T12:33:00Z</dcterms:modified>
</cp:coreProperties>
</file>